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D3" w:rsidRDefault="00CB77D3" w:rsidP="001626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</w:p>
    <w:p w:rsidR="00162647" w:rsidRDefault="000A7516" w:rsidP="001626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  <w:r>
        <w:rPr>
          <w:b/>
          <w:color w:val="2F5496" w:themeColor="accent5" w:themeShade="BF"/>
          <w:sz w:val="28"/>
          <w:szCs w:val="32"/>
        </w:rPr>
        <w:t>Р</w:t>
      </w:r>
      <w:r w:rsidR="00E74922">
        <w:rPr>
          <w:b/>
          <w:color w:val="2F5496" w:themeColor="accent5" w:themeShade="BF"/>
          <w:sz w:val="28"/>
          <w:szCs w:val="32"/>
        </w:rPr>
        <w:t>едакция</w:t>
      </w:r>
      <w:r w:rsidR="00863A45" w:rsidRPr="005E2087">
        <w:rPr>
          <w:b/>
          <w:color w:val="2F5496" w:themeColor="accent5" w:themeShade="BF"/>
          <w:sz w:val="28"/>
          <w:szCs w:val="32"/>
        </w:rPr>
        <w:t xml:space="preserve"> программ</w:t>
      </w:r>
      <w:r w:rsidR="00E74922">
        <w:rPr>
          <w:b/>
          <w:color w:val="2F5496" w:themeColor="accent5" w:themeShade="BF"/>
          <w:sz w:val="28"/>
          <w:szCs w:val="32"/>
        </w:rPr>
        <w:t>ы</w:t>
      </w:r>
    </w:p>
    <w:p w:rsidR="005C2E1A" w:rsidRDefault="00863A45" w:rsidP="001626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  <w:r w:rsidRPr="005E2087">
        <w:rPr>
          <w:b/>
          <w:color w:val="2F5496" w:themeColor="accent5" w:themeShade="BF"/>
          <w:sz w:val="28"/>
          <w:szCs w:val="32"/>
        </w:rPr>
        <w:t>«Мониторинг налоговых доходов» (ФНС-65н)</w:t>
      </w:r>
    </w:p>
    <w:p w:rsidR="007B3DC6" w:rsidRPr="005E2087" w:rsidRDefault="000A7516" w:rsidP="001626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  <w:r>
        <w:rPr>
          <w:b/>
          <w:color w:val="2F5496" w:themeColor="accent5" w:themeShade="BF"/>
          <w:sz w:val="28"/>
          <w:szCs w:val="32"/>
        </w:rPr>
        <w:t xml:space="preserve"> на 2023 год</w:t>
      </w:r>
    </w:p>
    <w:p w:rsidR="00AE06E6" w:rsidRPr="005E2087" w:rsidRDefault="00AE06E6" w:rsidP="008653CE">
      <w:pPr>
        <w:rPr>
          <w:sz w:val="10"/>
          <w:lang w:eastAsia="ru-RU"/>
        </w:rPr>
      </w:pPr>
    </w:p>
    <w:p w:rsidR="004D7B1A" w:rsidRDefault="005C2E1A" w:rsidP="00D333A5">
      <w:pPr>
        <w:spacing w:line="360" w:lineRule="auto"/>
        <w:rPr>
          <w:lang w:eastAsia="ru-RU"/>
        </w:rPr>
      </w:pPr>
      <w:r>
        <w:rPr>
          <w:lang w:eastAsia="ru-RU"/>
        </w:rPr>
        <w:t>Р</w:t>
      </w:r>
      <w:r w:rsidR="004D7B1A">
        <w:rPr>
          <w:lang w:eastAsia="ru-RU"/>
        </w:rPr>
        <w:t>елиз программы «Мониторинг налоговых доходов» (ФНС-65н)</w:t>
      </w:r>
      <w:r w:rsidR="004D7B1A" w:rsidRPr="004D7B1A">
        <w:rPr>
          <w:lang w:eastAsia="ru-RU"/>
        </w:rPr>
        <w:t xml:space="preserve"> </w:t>
      </w:r>
      <w:r w:rsidR="004D7B1A" w:rsidRPr="004D7B1A">
        <w:rPr>
          <w:rFonts w:cs="Arial"/>
        </w:rPr>
        <w:t>с разделами «Задолженность юридических лиц и ИП» и «Задолженность физических лиц»</w:t>
      </w:r>
      <w:r>
        <w:rPr>
          <w:rFonts w:cs="Arial"/>
        </w:rPr>
        <w:t xml:space="preserve"> на 2023 год</w:t>
      </w:r>
      <w:r w:rsidR="000F61AE" w:rsidRPr="000F61AE">
        <w:rPr>
          <w:rFonts w:cs="Arial"/>
        </w:rPr>
        <w:t xml:space="preserve"> -  </w:t>
      </w:r>
      <w:r w:rsidR="004D7B1A" w:rsidRPr="004D7B1A">
        <w:rPr>
          <w:b/>
          <w:lang w:eastAsia="ru-RU"/>
        </w:rPr>
        <w:t>3.21.11.28</w:t>
      </w:r>
      <w:r w:rsidR="000A7516">
        <w:rPr>
          <w:b/>
          <w:lang w:eastAsia="ru-RU"/>
        </w:rPr>
        <w:t>2</w:t>
      </w:r>
      <w:r w:rsidR="000F61AE">
        <w:rPr>
          <w:lang w:eastAsia="ru-RU"/>
        </w:rPr>
        <w:t>.</w:t>
      </w:r>
    </w:p>
    <w:p w:rsidR="00943D47" w:rsidRDefault="004D7B1A" w:rsidP="00D333A5">
      <w:pPr>
        <w:spacing w:line="360" w:lineRule="auto"/>
        <w:rPr>
          <w:lang w:eastAsia="ru-RU"/>
        </w:rPr>
      </w:pPr>
      <w:r>
        <w:rPr>
          <w:lang w:eastAsia="ru-RU"/>
        </w:rPr>
        <w:t>Скачав</w:t>
      </w:r>
      <w:r w:rsidR="00733452">
        <w:rPr>
          <w:lang w:eastAsia="ru-RU"/>
        </w:rPr>
        <w:t xml:space="preserve"> по ссылке </w:t>
      </w:r>
      <w:r w:rsidR="000F61AE">
        <w:rPr>
          <w:lang w:eastAsia="ru-RU"/>
        </w:rPr>
        <w:t xml:space="preserve"> </w:t>
      </w:r>
      <w:hyperlink r:id="rId8" w:history="1">
        <w:r w:rsidR="00733452" w:rsidRPr="000F61AE">
          <w:rPr>
            <w:rStyle w:val="af0"/>
            <w:b/>
            <w:lang w:eastAsia="ru-RU"/>
          </w:rPr>
          <w:t>https://disk.yandex.ru/d/PUwz2qRSf3jX2A</w:t>
        </w:r>
      </w:hyperlink>
      <w:r w:rsidR="000F61AE">
        <w:rPr>
          <w:lang w:eastAsia="ru-RU"/>
        </w:rPr>
        <w:t xml:space="preserve"> </w:t>
      </w:r>
      <w:r>
        <w:rPr>
          <w:lang w:eastAsia="ru-RU"/>
        </w:rPr>
        <w:t>ZIP-архив</w:t>
      </w:r>
      <w:r w:rsidR="006E69B5">
        <w:rPr>
          <w:lang w:eastAsia="ru-RU"/>
        </w:rPr>
        <w:t xml:space="preserve"> </w:t>
      </w:r>
      <w:r w:rsidR="00733452" w:rsidRPr="00733452">
        <w:rPr>
          <w:b/>
          <w:lang w:eastAsia="ru-RU"/>
        </w:rPr>
        <w:t>«SetupFNS-e2.exe.zip</w:t>
      </w:r>
      <w:r w:rsidR="00405A35">
        <w:rPr>
          <w:b/>
          <w:lang w:eastAsia="ru-RU"/>
        </w:rPr>
        <w:t>»</w:t>
      </w:r>
      <w:r w:rsidR="00D06216">
        <w:rPr>
          <w:lang w:eastAsia="ru-RU"/>
        </w:rPr>
        <w:t>,</w:t>
      </w:r>
      <w:r w:rsidR="007A70A3">
        <w:rPr>
          <w:lang w:eastAsia="ru-RU"/>
        </w:rPr>
        <w:t xml:space="preserve"> </w:t>
      </w:r>
      <w:r w:rsidR="00D06216">
        <w:rPr>
          <w:lang w:eastAsia="ru-RU"/>
        </w:rPr>
        <w:t xml:space="preserve">его необходимо распаковать и </w:t>
      </w:r>
      <w:r w:rsidR="00D06216" w:rsidRPr="004D7B1A">
        <w:rPr>
          <w:rFonts w:cs="Arial"/>
        </w:rPr>
        <w:t>запустить на выполнение</w:t>
      </w:r>
      <w:r>
        <w:rPr>
          <w:lang w:eastAsia="ru-RU"/>
        </w:rPr>
        <w:t xml:space="preserve"> </w:t>
      </w:r>
      <w:r w:rsidR="00BD144A">
        <w:rPr>
          <w:lang w:eastAsia="ru-RU"/>
        </w:rPr>
        <w:t>п</w:t>
      </w:r>
      <w:r w:rsidR="00D06216">
        <w:rPr>
          <w:lang w:eastAsia="ru-RU"/>
        </w:rPr>
        <w:t>рилагаемы</w:t>
      </w:r>
      <w:r w:rsidR="00BD144A">
        <w:rPr>
          <w:lang w:eastAsia="ru-RU"/>
        </w:rPr>
        <w:t>й</w:t>
      </w:r>
      <w:r w:rsidR="00D06216">
        <w:rPr>
          <w:lang w:eastAsia="ru-RU"/>
        </w:rPr>
        <w:t xml:space="preserve"> дистрибутив</w:t>
      </w:r>
      <w:r w:rsidR="00381A63" w:rsidRPr="00381A63">
        <w:rPr>
          <w:b/>
          <w:lang w:eastAsia="ru-RU"/>
        </w:rPr>
        <w:t xml:space="preserve"> </w:t>
      </w:r>
      <w:r w:rsidR="00BD144A">
        <w:rPr>
          <w:b/>
          <w:lang w:eastAsia="ru-RU"/>
        </w:rPr>
        <w:t>«</w:t>
      </w:r>
      <w:r w:rsidR="006E69B5" w:rsidRPr="00943D47">
        <w:rPr>
          <w:b/>
          <w:lang w:val="en-US" w:eastAsia="ru-RU"/>
        </w:rPr>
        <w:t>SetupFNS</w:t>
      </w:r>
      <w:r w:rsidR="006E69B5" w:rsidRPr="00943D47">
        <w:rPr>
          <w:b/>
          <w:lang w:eastAsia="ru-RU"/>
        </w:rPr>
        <w:t>-</w:t>
      </w:r>
      <w:r w:rsidR="006E69B5" w:rsidRPr="00943D47">
        <w:rPr>
          <w:b/>
          <w:lang w:val="en-US" w:eastAsia="ru-RU"/>
        </w:rPr>
        <w:t>e</w:t>
      </w:r>
      <w:r w:rsidR="006E69B5" w:rsidRPr="00943D47">
        <w:rPr>
          <w:b/>
          <w:lang w:eastAsia="ru-RU"/>
        </w:rPr>
        <w:t>2.</w:t>
      </w:r>
      <w:r w:rsidR="006E69B5" w:rsidRPr="00943D47">
        <w:rPr>
          <w:b/>
          <w:lang w:val="en-US" w:eastAsia="ru-RU"/>
        </w:rPr>
        <w:t>exe</w:t>
      </w:r>
      <w:r w:rsidR="00BD144A">
        <w:rPr>
          <w:b/>
          <w:lang w:eastAsia="ru-RU"/>
        </w:rPr>
        <w:t>»</w:t>
      </w:r>
      <w:r w:rsidR="00943D47" w:rsidRPr="00943D47">
        <w:rPr>
          <w:b/>
          <w:lang w:eastAsia="ru-RU"/>
        </w:rPr>
        <w:t xml:space="preserve"> </w:t>
      </w:r>
      <w:r w:rsidR="00943D47">
        <w:rPr>
          <w:lang w:eastAsia="ru-RU"/>
        </w:rPr>
        <w:tab/>
        <w:t>- базовая однопользовательская версия (Firebird 2.5.9)</w:t>
      </w:r>
      <w:r w:rsidR="00BD144A">
        <w:rPr>
          <w:lang w:eastAsia="ru-RU"/>
        </w:rPr>
        <w:t>.</w:t>
      </w:r>
    </w:p>
    <w:p w:rsidR="004D7B1A" w:rsidRDefault="002E77B9" w:rsidP="00D333A5">
      <w:pPr>
        <w:spacing w:line="360" w:lineRule="auto"/>
        <w:ind w:firstLine="0"/>
        <w:rPr>
          <w:rFonts w:cs="Arial"/>
        </w:rPr>
      </w:pPr>
      <w:r w:rsidRPr="004D7B1A">
        <w:rPr>
          <w:rFonts w:cs="Arial"/>
        </w:rPr>
        <w:t xml:space="preserve">. </w:t>
      </w:r>
      <w:r w:rsidR="00D06216">
        <w:rPr>
          <w:rFonts w:cs="Arial"/>
        </w:rPr>
        <w:tab/>
      </w:r>
      <w:r w:rsidR="004D7B1A" w:rsidRPr="004D7B1A">
        <w:rPr>
          <w:rFonts w:cs="Arial"/>
        </w:rPr>
        <w:t xml:space="preserve">При этом установка должна быть выполнена в новую папку (по умолчанию в папку </w:t>
      </w:r>
      <w:r w:rsidR="004D7B1A" w:rsidRPr="002E77B9">
        <w:rPr>
          <w:rFonts w:cs="Arial"/>
          <w:b/>
        </w:rPr>
        <w:t>«…\fintech\FNS-2023-65nZ»</w:t>
      </w:r>
      <w:r w:rsidR="004D7B1A" w:rsidRPr="004D7B1A">
        <w:rPr>
          <w:rFonts w:cs="Arial"/>
        </w:rPr>
        <w:t>).</w:t>
      </w:r>
    </w:p>
    <w:p w:rsidR="00600D90" w:rsidRPr="00A03655" w:rsidRDefault="00EE7DB2" w:rsidP="00D333A5">
      <w:pPr>
        <w:spacing w:before="0" w:line="360" w:lineRule="auto"/>
        <w:ind w:firstLine="708"/>
        <w:rPr>
          <w:lang w:eastAsia="ru-RU"/>
        </w:rPr>
      </w:pPr>
      <w:r>
        <w:rPr>
          <w:rFonts w:cs="Arial"/>
        </w:rPr>
        <w:t xml:space="preserve">Далее </w:t>
      </w:r>
      <w:r w:rsidR="00600D90">
        <w:rPr>
          <w:rFonts w:cs="Arial"/>
        </w:rPr>
        <w:t xml:space="preserve">необходимо </w:t>
      </w:r>
      <w:r w:rsidR="00600D90" w:rsidRPr="002E77B9">
        <w:rPr>
          <w:rFonts w:cs="Arial"/>
        </w:rPr>
        <w:t>запустить установленную программу и про</w:t>
      </w:r>
      <w:r w:rsidR="005C2E1A">
        <w:rPr>
          <w:rFonts w:cs="Arial"/>
        </w:rPr>
        <w:t>-</w:t>
      </w:r>
      <w:r w:rsidR="00600D90" w:rsidRPr="002E77B9">
        <w:rPr>
          <w:rFonts w:cs="Arial"/>
        </w:rPr>
        <w:t xml:space="preserve">активировать ее лицензией и файлом активации, предназначенными для версии программы </w:t>
      </w:r>
      <w:r w:rsidR="00600D90" w:rsidRPr="005C2E1A">
        <w:rPr>
          <w:rFonts w:cs="Arial"/>
          <w:b/>
        </w:rPr>
        <w:t>«Мониторинг налоговых доходов» (ФНС-65н)</w:t>
      </w:r>
      <w:r w:rsidR="005C2E1A" w:rsidRPr="005C2E1A">
        <w:rPr>
          <w:rFonts w:cs="Arial"/>
          <w:b/>
        </w:rPr>
        <w:t xml:space="preserve"> на 2024 год</w:t>
      </w:r>
      <w:r w:rsidR="00600D90" w:rsidRPr="002E77B9">
        <w:rPr>
          <w:rFonts w:cs="Arial"/>
        </w:rPr>
        <w:t>.</w:t>
      </w:r>
      <w:r w:rsidR="00600D90">
        <w:rPr>
          <w:rFonts w:cs="Arial"/>
        </w:rPr>
        <w:t xml:space="preserve"> </w:t>
      </w:r>
    </w:p>
    <w:p w:rsidR="00D333A5" w:rsidRPr="00D333A5" w:rsidRDefault="005C2E1A" w:rsidP="00D333A5">
      <w:pPr>
        <w:spacing w:line="360" w:lineRule="auto"/>
        <w:ind w:firstLine="708"/>
        <w:rPr>
          <w:b/>
          <w:bCs/>
          <w:iCs/>
          <w:color w:val="000000" w:themeColor="text1"/>
        </w:rPr>
      </w:pPr>
      <w:r w:rsidRPr="00D333A5">
        <w:rPr>
          <w:rFonts w:cs="Arial"/>
          <w:b/>
          <w:color w:val="000000" w:themeColor="text1"/>
        </w:rPr>
        <w:t>Лицензия и файл активации</w:t>
      </w:r>
      <w:r w:rsidR="00D333A5" w:rsidRPr="00D333A5">
        <w:rPr>
          <w:rFonts w:cs="Arial"/>
          <w:b/>
          <w:color w:val="000000" w:themeColor="text1"/>
        </w:rPr>
        <w:t xml:space="preserve"> на 2024 год. </w:t>
      </w:r>
      <w:r w:rsidRPr="00D333A5">
        <w:rPr>
          <w:rFonts w:cs="Arial"/>
          <w:b/>
          <w:color w:val="000000" w:themeColor="text1"/>
        </w:rPr>
        <w:t>буд</w:t>
      </w:r>
      <w:r w:rsidR="00D333A5" w:rsidRPr="00D333A5">
        <w:rPr>
          <w:rFonts w:cs="Arial"/>
          <w:b/>
          <w:color w:val="000000" w:themeColor="text1"/>
        </w:rPr>
        <w:t>у</w:t>
      </w:r>
      <w:r w:rsidRPr="00D333A5">
        <w:rPr>
          <w:rFonts w:cs="Arial"/>
          <w:b/>
          <w:color w:val="000000" w:themeColor="text1"/>
        </w:rPr>
        <w:t xml:space="preserve"> дос</w:t>
      </w:r>
      <w:r w:rsidR="00D333A5" w:rsidRPr="00D333A5">
        <w:rPr>
          <w:rFonts w:cs="Arial"/>
          <w:b/>
          <w:color w:val="000000" w:themeColor="text1"/>
        </w:rPr>
        <w:t>туп</w:t>
      </w:r>
      <w:r w:rsidRPr="00D333A5">
        <w:rPr>
          <w:rFonts w:cs="Arial"/>
          <w:b/>
          <w:color w:val="000000" w:themeColor="text1"/>
        </w:rPr>
        <w:t>н</w:t>
      </w:r>
      <w:r w:rsidR="00D333A5" w:rsidRPr="00D333A5">
        <w:rPr>
          <w:rFonts w:cs="Arial"/>
          <w:b/>
          <w:color w:val="000000" w:themeColor="text1"/>
        </w:rPr>
        <w:t>ы</w:t>
      </w:r>
      <w:r w:rsidRPr="00D333A5">
        <w:rPr>
          <w:rFonts w:cs="Arial"/>
          <w:b/>
          <w:color w:val="000000" w:themeColor="text1"/>
        </w:rPr>
        <w:t xml:space="preserve"> в служ</w:t>
      </w:r>
      <w:r w:rsidR="00F22D75">
        <w:rPr>
          <w:rFonts w:cs="Arial"/>
          <w:b/>
          <w:color w:val="000000" w:themeColor="text1"/>
        </w:rPr>
        <w:t>б</w:t>
      </w:r>
      <w:bookmarkStart w:id="0" w:name="_GoBack"/>
      <w:bookmarkEnd w:id="0"/>
      <w:r w:rsidRPr="00D333A5">
        <w:rPr>
          <w:rFonts w:cs="Arial"/>
          <w:b/>
          <w:color w:val="000000" w:themeColor="text1"/>
        </w:rPr>
        <w:t>е</w:t>
      </w:r>
      <w:r w:rsidR="00D333A5" w:rsidRPr="00D333A5">
        <w:rPr>
          <w:rFonts w:cs="Arial"/>
          <w:b/>
          <w:color w:val="000000" w:themeColor="text1"/>
        </w:rPr>
        <w:t xml:space="preserve"> 10 А</w:t>
      </w:r>
      <w:r w:rsidR="00D333A5" w:rsidRPr="00D333A5">
        <w:rPr>
          <w:rFonts w:cs="Arial"/>
          <w:b/>
          <w:bCs/>
          <w:iCs/>
          <w:color w:val="000000" w:themeColor="text1"/>
        </w:rPr>
        <w:t>О «ФИНТЕХ   (</w:t>
      </w:r>
      <w:r w:rsidR="00D333A5">
        <w:rPr>
          <w:rFonts w:cs="Arial"/>
          <w:b/>
          <w:bCs/>
          <w:iCs/>
          <w:color w:val="000000" w:themeColor="text1"/>
          <w:lang w:val="en-US"/>
        </w:rPr>
        <w:t>e</w:t>
      </w:r>
      <w:r w:rsidR="00D333A5" w:rsidRPr="00D333A5">
        <w:rPr>
          <w:rFonts w:cs="Arial"/>
          <w:b/>
          <w:bCs/>
          <w:iCs/>
          <w:color w:val="000000" w:themeColor="text1"/>
        </w:rPr>
        <w:t>-</w:t>
      </w:r>
      <w:r w:rsidR="00D333A5" w:rsidRPr="00D333A5">
        <w:rPr>
          <w:rFonts w:cs="Arial"/>
          <w:b/>
          <w:bCs/>
          <w:iCs/>
          <w:color w:val="000000" w:themeColor="text1"/>
          <w:lang w:val="en-US"/>
        </w:rPr>
        <w:t>mail</w:t>
      </w:r>
      <w:r w:rsidR="00D333A5" w:rsidRPr="00D333A5">
        <w:rPr>
          <w:rFonts w:cs="Arial"/>
          <w:b/>
          <w:bCs/>
          <w:iCs/>
          <w:color w:val="000000" w:themeColor="text1"/>
        </w:rPr>
        <w:t xml:space="preserve">: </w:t>
      </w:r>
      <w:hyperlink r:id="rId9" w:history="1">
        <w:r w:rsidR="00D333A5" w:rsidRPr="00D333A5">
          <w:rPr>
            <w:rStyle w:val="af0"/>
            <w:rFonts w:cs="Arial"/>
            <w:b/>
            <w:bCs/>
            <w:iCs/>
            <w:color w:val="000000" w:themeColor="text1"/>
            <w:lang w:val="en-US"/>
          </w:rPr>
          <w:t>s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</w:rPr>
          <w:t>10@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  <w:lang w:val="en-US"/>
          </w:rPr>
          <w:t>fintech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</w:rPr>
          <w:t>.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  <w:lang w:val="en-US"/>
          </w:rPr>
          <w:t>ru</w:t>
        </w:r>
      </w:hyperlink>
      <w:r w:rsidR="00D333A5" w:rsidRPr="00D333A5">
        <w:rPr>
          <w:b/>
          <w:bCs/>
          <w:iCs/>
          <w:color w:val="000000" w:themeColor="text1"/>
        </w:rPr>
        <w:t xml:space="preserve"> ) после заключения догвора на 2024 год.</w:t>
      </w:r>
    </w:p>
    <w:p w:rsidR="00600D90" w:rsidRDefault="00600D90" w:rsidP="00D333A5">
      <w:pPr>
        <w:spacing w:before="0" w:line="360" w:lineRule="auto"/>
        <w:ind w:firstLine="708"/>
        <w:rPr>
          <w:rFonts w:cs="Arial"/>
        </w:rPr>
      </w:pPr>
    </w:p>
    <w:p w:rsidR="005C2E1A" w:rsidRDefault="005C2E1A" w:rsidP="00A651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</w:p>
    <w:p w:rsidR="005C2E1A" w:rsidRPr="00235C39" w:rsidRDefault="005C2E1A" w:rsidP="005C2E1A">
      <w:pPr>
        <w:pStyle w:val="af1"/>
        <w:spacing w:line="240" w:lineRule="auto"/>
        <w:jc w:val="left"/>
        <w:rPr>
          <w:rFonts w:ascii="Arial" w:hAnsi="Arial" w:cs="Arial"/>
          <w:b/>
          <w:bCs/>
        </w:rPr>
      </w:pPr>
      <w:r w:rsidRPr="00235C39">
        <w:rPr>
          <w:rFonts w:ascii="Arial" w:hAnsi="Arial" w:cs="Arial"/>
          <w:b/>
          <w:bCs/>
        </w:rPr>
        <w:t>Реквизиты разработчика:</w:t>
      </w:r>
    </w:p>
    <w:p w:rsidR="005C2E1A" w:rsidRPr="00103A37" w:rsidRDefault="005C2E1A" w:rsidP="005C2E1A">
      <w:pPr>
        <w:pStyle w:val="af1"/>
        <w:spacing w:line="240" w:lineRule="auto"/>
        <w:jc w:val="left"/>
        <w:rPr>
          <w:b/>
          <w:bCs/>
          <w:sz w:val="6"/>
          <w:u w:val="single"/>
        </w:rPr>
      </w:pPr>
    </w:p>
    <w:p w:rsidR="005C2E1A" w:rsidRPr="00235C39" w:rsidRDefault="005C2E1A" w:rsidP="00D333A5">
      <w:pPr>
        <w:spacing w:line="240" w:lineRule="auto"/>
        <w:ind w:firstLine="708"/>
        <w:rPr>
          <w:rFonts w:cs="Arial"/>
          <w:bCs/>
          <w:iCs/>
        </w:rPr>
      </w:pPr>
      <w:r w:rsidRPr="00235C39">
        <w:rPr>
          <w:rFonts w:cs="Arial"/>
          <w:bCs/>
          <w:iCs/>
        </w:rPr>
        <w:t xml:space="preserve">Акционерное общество </w:t>
      </w:r>
    </w:p>
    <w:p w:rsidR="005C2E1A" w:rsidRPr="00235C39" w:rsidRDefault="005C2E1A" w:rsidP="00D333A5">
      <w:pPr>
        <w:spacing w:line="240" w:lineRule="auto"/>
        <w:ind w:firstLine="708"/>
        <w:rPr>
          <w:rFonts w:cs="Arial"/>
          <w:bCs/>
          <w:iCs/>
        </w:rPr>
      </w:pPr>
      <w:r w:rsidRPr="00235C39">
        <w:rPr>
          <w:rFonts w:cs="Arial"/>
          <w:bCs/>
          <w:iCs/>
        </w:rPr>
        <w:t xml:space="preserve">«Финансы, Информация, Технология» </w:t>
      </w:r>
    </w:p>
    <w:p w:rsidR="005C2E1A" w:rsidRPr="00235C39" w:rsidRDefault="005C2E1A" w:rsidP="00D333A5">
      <w:pPr>
        <w:spacing w:line="240" w:lineRule="auto"/>
        <w:ind w:firstLine="708"/>
        <w:rPr>
          <w:rFonts w:cs="Arial"/>
          <w:bCs/>
          <w:iCs/>
        </w:rPr>
      </w:pPr>
      <w:r w:rsidRPr="00235C39">
        <w:rPr>
          <w:rFonts w:cs="Arial"/>
          <w:bCs/>
          <w:iCs/>
        </w:rPr>
        <w:t>(АО «ФИНТЕХ»)</w:t>
      </w:r>
    </w:p>
    <w:p w:rsidR="005C2E1A" w:rsidRPr="00717E34" w:rsidRDefault="005C2E1A" w:rsidP="00D333A5">
      <w:pPr>
        <w:spacing w:line="240" w:lineRule="auto"/>
        <w:ind w:firstLine="708"/>
        <w:rPr>
          <w:rFonts w:cs="Arial"/>
          <w:bCs/>
          <w:iCs/>
        </w:rPr>
      </w:pPr>
    </w:p>
    <w:p w:rsidR="005C2E1A" w:rsidRPr="00717E34" w:rsidRDefault="005C2E1A" w:rsidP="00D333A5">
      <w:pPr>
        <w:spacing w:line="240" w:lineRule="auto"/>
        <w:ind w:firstLine="708"/>
        <w:rPr>
          <w:rFonts w:cs="Arial"/>
          <w:bCs/>
          <w:iCs/>
        </w:rPr>
      </w:pPr>
      <w:r w:rsidRPr="00717E34">
        <w:rPr>
          <w:rFonts w:cs="Arial"/>
          <w:bCs/>
          <w:iCs/>
        </w:rPr>
        <w:t>1</w:t>
      </w:r>
      <w:smartTag w:uri="urn:schemas-microsoft-com:office:smarttags" w:element="metricconverter">
        <w:smartTagPr>
          <w:attr w:name="ProductID" w:val="19180, г"/>
        </w:smartTagPr>
        <w:r w:rsidRPr="00717E34">
          <w:rPr>
            <w:rFonts w:cs="Arial"/>
            <w:bCs/>
            <w:iCs/>
          </w:rPr>
          <w:t>19180, г</w:t>
        </w:r>
      </w:smartTag>
      <w:r w:rsidRPr="00717E34">
        <w:rPr>
          <w:rFonts w:cs="Arial"/>
          <w:bCs/>
          <w:iCs/>
        </w:rPr>
        <w:t>. Москва, 1-й Хвостов пер., д.11-А</w:t>
      </w:r>
    </w:p>
    <w:p w:rsidR="005C2E1A" w:rsidRPr="00717E34" w:rsidRDefault="005C2E1A" w:rsidP="00D333A5">
      <w:pPr>
        <w:spacing w:line="240" w:lineRule="auto"/>
        <w:ind w:firstLine="708"/>
        <w:rPr>
          <w:rFonts w:cs="Arial"/>
          <w:bCs/>
          <w:iCs/>
        </w:rPr>
      </w:pPr>
      <w:r w:rsidRPr="00717E34">
        <w:rPr>
          <w:rFonts w:cs="Arial"/>
          <w:bCs/>
          <w:iCs/>
        </w:rPr>
        <w:t>Тел.</w:t>
      </w:r>
      <w:r>
        <w:rPr>
          <w:rFonts w:cs="Arial"/>
          <w:bCs/>
          <w:iCs/>
        </w:rPr>
        <w:t xml:space="preserve"> </w:t>
      </w:r>
      <w:r w:rsidRPr="00717E34">
        <w:rPr>
          <w:rFonts w:cs="Arial"/>
          <w:bCs/>
          <w:iCs/>
        </w:rPr>
        <w:t>(499) 238-0132, факс (499) 238-3578</w:t>
      </w:r>
    </w:p>
    <w:p w:rsidR="005C2E1A" w:rsidRPr="00717E34" w:rsidRDefault="005C2E1A" w:rsidP="00D333A5">
      <w:pPr>
        <w:spacing w:line="240" w:lineRule="auto"/>
        <w:ind w:firstLine="708"/>
        <w:rPr>
          <w:rFonts w:cs="Arial"/>
          <w:bCs/>
          <w:iCs/>
        </w:rPr>
      </w:pPr>
      <w:r w:rsidRPr="00717E34">
        <w:rPr>
          <w:rFonts w:cs="Arial"/>
          <w:bCs/>
          <w:iCs/>
        </w:rPr>
        <w:t xml:space="preserve">ИНТЕРНЕТ: </w:t>
      </w:r>
      <w:r w:rsidRPr="001134B4">
        <w:rPr>
          <w:rFonts w:cs="Arial"/>
          <w:bCs/>
          <w:iCs/>
        </w:rPr>
        <w:tab/>
      </w:r>
      <w:hyperlink r:id="rId10" w:history="1">
        <w:r>
          <w:rPr>
            <w:rStyle w:val="af0"/>
            <w:rFonts w:cs="Arial"/>
            <w:bCs/>
            <w:iCs/>
          </w:rPr>
          <w:t>http://support.fintech.ru/tabid/242/Default.aspx</w:t>
        </w:r>
      </w:hyperlink>
    </w:p>
    <w:p w:rsidR="005C2E1A" w:rsidRPr="00717E34" w:rsidRDefault="005C2E1A" w:rsidP="00D333A5">
      <w:pPr>
        <w:spacing w:line="240" w:lineRule="auto"/>
        <w:ind w:firstLine="708"/>
        <w:rPr>
          <w:bCs/>
          <w:iCs/>
          <w:color w:val="800080"/>
        </w:rPr>
      </w:pPr>
      <w:r w:rsidRPr="00717E34">
        <w:rPr>
          <w:rFonts w:cs="Arial"/>
          <w:bCs/>
          <w:iCs/>
          <w:lang w:val="en-US"/>
        </w:rPr>
        <w:t>E</w:t>
      </w:r>
      <w:r w:rsidRPr="00717E34">
        <w:rPr>
          <w:rFonts w:cs="Arial"/>
          <w:bCs/>
          <w:iCs/>
        </w:rPr>
        <w:t>-</w:t>
      </w:r>
      <w:r w:rsidRPr="00717E34">
        <w:rPr>
          <w:rFonts w:cs="Arial"/>
          <w:bCs/>
          <w:iCs/>
          <w:lang w:val="en-US"/>
        </w:rPr>
        <w:t>mail</w:t>
      </w:r>
      <w:r w:rsidRPr="00717E34">
        <w:rPr>
          <w:rFonts w:cs="Arial"/>
          <w:bCs/>
          <w:iCs/>
        </w:rPr>
        <w:t xml:space="preserve">: </w:t>
      </w:r>
      <w:r w:rsidRPr="00717E34">
        <w:rPr>
          <w:rFonts w:cs="Arial"/>
          <w:bCs/>
          <w:iCs/>
        </w:rPr>
        <w:tab/>
      </w:r>
      <w:hyperlink r:id="rId11" w:history="1">
        <w:r w:rsidRPr="00717E34">
          <w:rPr>
            <w:rStyle w:val="af0"/>
            <w:rFonts w:cs="Arial"/>
            <w:bCs/>
            <w:iCs/>
            <w:lang w:val="en-US"/>
          </w:rPr>
          <w:t>s</w:t>
        </w:r>
        <w:r w:rsidRPr="00717E34">
          <w:rPr>
            <w:rStyle w:val="af0"/>
            <w:rFonts w:cs="Arial"/>
            <w:bCs/>
            <w:iCs/>
          </w:rPr>
          <w:t>10@</w:t>
        </w:r>
        <w:r w:rsidRPr="00717E34">
          <w:rPr>
            <w:rStyle w:val="af0"/>
            <w:rFonts w:cs="Arial"/>
            <w:bCs/>
            <w:iCs/>
            <w:lang w:val="en-US"/>
          </w:rPr>
          <w:t>fintech</w:t>
        </w:r>
        <w:r w:rsidRPr="00717E34">
          <w:rPr>
            <w:rStyle w:val="af0"/>
            <w:rFonts w:cs="Arial"/>
            <w:bCs/>
            <w:iCs/>
          </w:rPr>
          <w:t>.</w:t>
        </w:r>
        <w:r w:rsidRPr="00717E34">
          <w:rPr>
            <w:rStyle w:val="af0"/>
            <w:rFonts w:cs="Arial"/>
            <w:bCs/>
            <w:iCs/>
            <w:lang w:val="en-US"/>
          </w:rPr>
          <w:t>ru</w:t>
        </w:r>
      </w:hyperlink>
      <w:r w:rsidRPr="00717E34">
        <w:rPr>
          <w:bCs/>
          <w:iCs/>
          <w:color w:val="800080"/>
        </w:rPr>
        <w:t xml:space="preserve"> </w:t>
      </w:r>
    </w:p>
    <w:p w:rsidR="005C2E1A" w:rsidRPr="00B32C3C" w:rsidRDefault="005C2E1A" w:rsidP="00D333A5">
      <w:pPr>
        <w:spacing w:line="240" w:lineRule="auto"/>
        <w:ind w:firstLine="708"/>
        <w:rPr>
          <w:b/>
          <w:bCs/>
          <w:iCs/>
          <w:color w:val="800080"/>
        </w:rPr>
      </w:pPr>
    </w:p>
    <w:p w:rsidR="005C2E1A" w:rsidRPr="00B32C3C" w:rsidRDefault="005C2E1A" w:rsidP="00D333A5">
      <w:pPr>
        <w:spacing w:line="240" w:lineRule="auto"/>
        <w:ind w:firstLine="708"/>
        <w:rPr>
          <w:b/>
          <w:bCs/>
          <w:iCs/>
          <w:color w:val="800080"/>
        </w:rPr>
      </w:pPr>
    </w:p>
    <w:p w:rsidR="005C2E1A" w:rsidRPr="00B32C3C" w:rsidRDefault="005C2E1A" w:rsidP="00D333A5">
      <w:pPr>
        <w:spacing w:line="240" w:lineRule="auto"/>
        <w:ind w:firstLine="708"/>
        <w:rPr>
          <w:b/>
          <w:bCs/>
          <w:iCs/>
          <w:color w:val="800080"/>
        </w:rPr>
      </w:pPr>
    </w:p>
    <w:p w:rsidR="005C2E1A" w:rsidRDefault="005C2E1A" w:rsidP="00D333A5">
      <w:pPr>
        <w:spacing w:line="240" w:lineRule="auto"/>
        <w:ind w:left="5664"/>
        <w:rPr>
          <w:rFonts w:cs="Arial"/>
          <w:b/>
          <w:bCs/>
        </w:rPr>
      </w:pPr>
      <w:r w:rsidRPr="00717E34">
        <w:rPr>
          <w:b/>
          <w:bCs/>
        </w:rPr>
        <w:t>© АО «ФИНТЕХ», 2008-20</w:t>
      </w:r>
      <w:r w:rsidRPr="002645C4">
        <w:rPr>
          <w:b/>
          <w:bCs/>
        </w:rPr>
        <w:t>23</w:t>
      </w:r>
      <w:r w:rsidRPr="00717E34">
        <w:rPr>
          <w:rFonts w:cs="Arial"/>
          <w:b/>
          <w:bCs/>
        </w:rPr>
        <w:br w:type="page"/>
      </w:r>
    </w:p>
    <w:p w:rsidR="00A65147" w:rsidRDefault="00A65147" w:rsidP="00A651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  <w:r w:rsidRPr="005E2087">
        <w:rPr>
          <w:b/>
          <w:color w:val="2F5496" w:themeColor="accent5" w:themeShade="BF"/>
          <w:sz w:val="28"/>
          <w:szCs w:val="32"/>
        </w:rPr>
        <w:lastRenderedPageBreak/>
        <w:t>Описание изменений, внесенных в программу</w:t>
      </w:r>
    </w:p>
    <w:p w:rsidR="00A65147" w:rsidRPr="005E2087" w:rsidRDefault="00A65147" w:rsidP="00A65147">
      <w:pPr>
        <w:ind w:firstLine="0"/>
        <w:jc w:val="center"/>
        <w:rPr>
          <w:b/>
          <w:color w:val="2F5496" w:themeColor="accent5" w:themeShade="BF"/>
          <w:sz w:val="28"/>
          <w:szCs w:val="32"/>
        </w:rPr>
      </w:pPr>
      <w:r w:rsidRPr="005E2087">
        <w:rPr>
          <w:b/>
          <w:color w:val="2F5496" w:themeColor="accent5" w:themeShade="BF"/>
          <w:sz w:val="28"/>
          <w:szCs w:val="32"/>
        </w:rPr>
        <w:t>«Мониторинг налоговых доходов» (ФНС-65н)</w:t>
      </w:r>
    </w:p>
    <w:p w:rsidR="00A65147" w:rsidRDefault="00A65147" w:rsidP="00A65147">
      <w:r>
        <w:t xml:space="preserve">Теперь в </w:t>
      </w:r>
      <w:r>
        <w:rPr>
          <w:lang w:val="en-US" w:eastAsia="ru-RU"/>
        </w:rPr>
        <w:t>TAX</w:t>
      </w:r>
      <w:r w:rsidRPr="00857F69">
        <w:rPr>
          <w:lang w:eastAsia="ru-RU"/>
        </w:rPr>
        <w:t>-</w:t>
      </w:r>
      <w:r>
        <w:rPr>
          <w:lang w:eastAsia="ru-RU"/>
        </w:rPr>
        <w:t>файлах</w:t>
      </w:r>
      <w:r>
        <w:t>, дополнительно к сведениям о налогах, сборах и иных обязательных платежей, администрируемых налоговыми органами, добавились сведения о з</w:t>
      </w:r>
      <w:r w:rsidRPr="00254055">
        <w:t>адолженност</w:t>
      </w:r>
      <w:r>
        <w:t>и</w:t>
      </w:r>
      <w:r w:rsidRPr="00254055">
        <w:t xml:space="preserve"> юридических лиц и индивидуальных предпринимателей</w:t>
      </w:r>
      <w:r>
        <w:t>, а также сведения о з</w:t>
      </w:r>
      <w:r w:rsidRPr="00254055">
        <w:t>адолженност</w:t>
      </w:r>
      <w:r>
        <w:t>и</w:t>
      </w:r>
      <w:r w:rsidRPr="00E84ACF">
        <w:t xml:space="preserve"> </w:t>
      </w:r>
      <w:r w:rsidRPr="00254055">
        <w:t>физических лиц</w:t>
      </w:r>
      <w:r>
        <w:t>.</w:t>
      </w:r>
    </w:p>
    <w:p w:rsidR="00A65147" w:rsidRDefault="00A65147" w:rsidP="00A65147">
      <w:r>
        <w:t>В соответствии с этим:</w:t>
      </w:r>
    </w:p>
    <w:p w:rsidR="00A65147" w:rsidRDefault="00A65147" w:rsidP="00A65147">
      <w:pPr>
        <w:pStyle w:val="a3"/>
        <w:numPr>
          <w:ilvl w:val="0"/>
          <w:numId w:val="2"/>
        </w:numPr>
      </w:pPr>
      <w:r>
        <w:t xml:space="preserve">Добавлена обработка и загрузка сведений из </w:t>
      </w:r>
      <w:r>
        <w:rPr>
          <w:lang w:val="en-US"/>
        </w:rPr>
        <w:t>TAX</w:t>
      </w:r>
      <w:r>
        <w:t>-файлов в части з</w:t>
      </w:r>
      <w:r w:rsidRPr="00254055">
        <w:t>адолженност</w:t>
      </w:r>
      <w:r>
        <w:t>и</w:t>
      </w:r>
      <w:r w:rsidRPr="00254055">
        <w:t xml:space="preserve"> физических лиц</w:t>
      </w:r>
      <w:r>
        <w:t xml:space="preserve">, </w:t>
      </w:r>
      <w:r w:rsidRPr="00254055">
        <w:t>юридических лиц и индивидуальных предпринимателей</w:t>
      </w:r>
      <w:r>
        <w:t>;</w:t>
      </w:r>
    </w:p>
    <w:p w:rsidR="00A65147" w:rsidRDefault="00A65147" w:rsidP="00A65147">
      <w:pPr>
        <w:pStyle w:val="a3"/>
        <w:numPr>
          <w:ilvl w:val="0"/>
          <w:numId w:val="2"/>
        </w:numPr>
      </w:pPr>
      <w:r>
        <w:t>Добавлен мониторинг сведений о з</w:t>
      </w:r>
      <w:r w:rsidRPr="00254055">
        <w:t>адолженност</w:t>
      </w:r>
      <w:r>
        <w:t>и</w:t>
      </w:r>
      <w:r w:rsidRPr="00254055">
        <w:t xml:space="preserve"> физических лиц</w:t>
      </w:r>
      <w:r>
        <w:t xml:space="preserve">, </w:t>
      </w:r>
      <w:r w:rsidRPr="00254055">
        <w:t>юридических лиц и индивидуальных предпринимателей</w:t>
      </w:r>
      <w:r>
        <w:t>;</w:t>
      </w:r>
    </w:p>
    <w:p w:rsidR="00A65147" w:rsidRDefault="00A65147" w:rsidP="00A65147">
      <w:pPr>
        <w:pStyle w:val="a3"/>
        <w:numPr>
          <w:ilvl w:val="0"/>
          <w:numId w:val="2"/>
        </w:numPr>
      </w:pPr>
      <w:r>
        <w:t>Добавлено получение регламентированных документов о з</w:t>
      </w:r>
      <w:r w:rsidRPr="00254055">
        <w:t>адолженност</w:t>
      </w:r>
      <w:r>
        <w:t>и</w:t>
      </w:r>
      <w:r w:rsidRPr="00254055">
        <w:t xml:space="preserve"> физических лиц</w:t>
      </w:r>
      <w:r>
        <w:t xml:space="preserve">, </w:t>
      </w:r>
      <w:r w:rsidRPr="00254055">
        <w:t>юридических лиц и индивидуальных предпринимателей</w:t>
      </w:r>
      <w:r>
        <w:t>;</w:t>
      </w:r>
    </w:p>
    <w:p w:rsidR="00A65147" w:rsidRDefault="00A65147" w:rsidP="00A65147">
      <w:pPr>
        <w:pStyle w:val="a3"/>
        <w:numPr>
          <w:ilvl w:val="0"/>
          <w:numId w:val="2"/>
        </w:numPr>
      </w:pPr>
      <w:r>
        <w:t>Изменено ведение справочника ОКТМО в части формирования адресов финансовых органов муниципальных образований в формате ФИАС.</w:t>
      </w:r>
    </w:p>
    <w:p w:rsidR="00A65147" w:rsidRPr="005E2087" w:rsidRDefault="00A65147" w:rsidP="00A65147">
      <w:pPr>
        <w:rPr>
          <w:sz w:val="6"/>
        </w:rPr>
      </w:pPr>
    </w:p>
    <w:p w:rsidR="00A65147" w:rsidRPr="00F12916" w:rsidRDefault="00A65147" w:rsidP="00A65147">
      <w:pPr>
        <w:pStyle w:val="a3"/>
        <w:numPr>
          <w:ilvl w:val="0"/>
          <w:numId w:val="5"/>
        </w:numPr>
        <w:rPr>
          <w:b/>
          <w:color w:val="2F5496" w:themeColor="accent5" w:themeShade="BF"/>
          <w:sz w:val="24"/>
        </w:rPr>
      </w:pPr>
      <w:r w:rsidRPr="00F12916">
        <w:rPr>
          <w:b/>
          <w:color w:val="2F5496" w:themeColor="accent5" w:themeShade="BF"/>
          <w:sz w:val="24"/>
        </w:rPr>
        <w:t xml:space="preserve">Обработка и загрузка сведений из </w:t>
      </w:r>
      <w:r w:rsidRPr="00F12916">
        <w:rPr>
          <w:b/>
          <w:color w:val="2F5496" w:themeColor="accent5" w:themeShade="BF"/>
          <w:sz w:val="24"/>
          <w:lang w:val="en-US"/>
        </w:rPr>
        <w:t>TAX</w:t>
      </w:r>
      <w:r w:rsidRPr="00F12916">
        <w:rPr>
          <w:b/>
          <w:color w:val="2F5496" w:themeColor="accent5" w:themeShade="BF"/>
          <w:sz w:val="24"/>
        </w:rPr>
        <w:t>-файлов</w:t>
      </w:r>
    </w:p>
    <w:p w:rsidR="00A65147" w:rsidRDefault="00A65147" w:rsidP="00A65147">
      <w:r>
        <w:t xml:space="preserve">Обработка и загрузка сведений из </w:t>
      </w:r>
      <w:r>
        <w:rPr>
          <w:lang w:val="en-US"/>
        </w:rPr>
        <w:t>TAX</w:t>
      </w:r>
      <w:r w:rsidRPr="000923CB">
        <w:t>-</w:t>
      </w:r>
      <w:r>
        <w:t>файлов состоит из следующих этапов:</w:t>
      </w:r>
    </w:p>
    <w:p w:rsidR="00A65147" w:rsidRDefault="00A65147" w:rsidP="00A65147">
      <w:pPr>
        <w:pStyle w:val="a3"/>
        <w:numPr>
          <w:ilvl w:val="0"/>
          <w:numId w:val="13"/>
        </w:numPr>
      </w:pPr>
      <w:r w:rsidRPr="00DC0839">
        <w:t>Обработка и загрузка сведений о налогах, сборах и иных обязательных платежей. Данный этап</w:t>
      </w:r>
      <w:r w:rsidRPr="00E84ACF">
        <w:t xml:space="preserve"> </w:t>
      </w:r>
      <w:r>
        <w:t>(рис.1)</w:t>
      </w:r>
      <w:r w:rsidRPr="00DC0839">
        <w:t xml:space="preserve"> состоит из следующих шагов: «Прием файлов ФНС», «Проверка файлов ФНС», «Загрузка данных»</w:t>
      </w:r>
      <w:r>
        <w:t>.</w:t>
      </w:r>
      <w:r w:rsidRPr="00DC0839">
        <w:t xml:space="preserve"> </w:t>
      </w:r>
      <w:r>
        <w:t>Детально данный этап</w:t>
      </w:r>
      <w:r w:rsidRPr="00DC0839">
        <w:t xml:space="preserve"> описан в документах</w:t>
      </w:r>
      <w:r>
        <w:t>:</w:t>
      </w:r>
      <w:r w:rsidRPr="00DC0839">
        <w:t xml:space="preserve"> «Руководство пользователя программы «Мониторинг налоговых доходов» (ФНС-65н) - базовая версия</w:t>
      </w:r>
      <w:r>
        <w:t xml:space="preserve">, </w:t>
      </w:r>
      <w:r w:rsidRPr="00DC0839">
        <w:t xml:space="preserve">«Руководство пользователя программы «Мониторинг налоговых доходов» (ФНС-65н) - </w:t>
      </w:r>
      <w:r>
        <w:t>упрощенная</w:t>
      </w:r>
      <w:r w:rsidRPr="00DC0839">
        <w:t xml:space="preserve"> версия</w:t>
      </w:r>
      <w:r>
        <w:t>;</w:t>
      </w:r>
    </w:p>
    <w:p w:rsidR="00A65147" w:rsidRDefault="00A65147" w:rsidP="00A65147">
      <w:pPr>
        <w:pStyle w:val="a5"/>
      </w:pPr>
      <w:r w:rsidRPr="00A47DE4">
        <w:rPr>
          <w:noProof/>
          <w:lang w:eastAsia="ru-RU"/>
        </w:rPr>
        <w:drawing>
          <wp:inline distT="0" distB="0" distL="0" distR="0">
            <wp:extent cx="4486275" cy="2933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jc w:val="center"/>
      </w:pPr>
      <w:r>
        <w:t>Рис. 1.</w:t>
      </w:r>
    </w:p>
    <w:p w:rsidR="00A65147" w:rsidRDefault="00A65147" w:rsidP="00A65147">
      <w:pPr>
        <w:pStyle w:val="a3"/>
        <w:numPr>
          <w:ilvl w:val="0"/>
          <w:numId w:val="14"/>
        </w:numPr>
      </w:pPr>
      <w:r w:rsidRPr="00DC0839">
        <w:t xml:space="preserve">Обработка и загрузка сведений </w:t>
      </w:r>
      <w:r>
        <w:t>о з</w:t>
      </w:r>
      <w:r w:rsidRPr="00254055">
        <w:t>адолженност</w:t>
      </w:r>
      <w:r>
        <w:t>и</w:t>
      </w:r>
      <w:r w:rsidRPr="00254055">
        <w:t xml:space="preserve"> юридических лиц и индивидуальных предпринимателей</w:t>
      </w:r>
      <w:r>
        <w:t xml:space="preserve"> (рис.</w:t>
      </w:r>
      <w:r w:rsidRPr="001F1CAC">
        <w:t>2</w:t>
      </w:r>
      <w:r>
        <w:t>);</w:t>
      </w:r>
    </w:p>
    <w:p w:rsidR="00A65147" w:rsidRDefault="00A65147" w:rsidP="00A65147">
      <w:pPr>
        <w:pStyle w:val="a3"/>
        <w:numPr>
          <w:ilvl w:val="0"/>
          <w:numId w:val="14"/>
        </w:numPr>
      </w:pPr>
      <w:r w:rsidRPr="00DC0839">
        <w:t>Обработка и загрузка сведений о</w:t>
      </w:r>
      <w:r>
        <w:t xml:space="preserve"> з</w:t>
      </w:r>
      <w:r w:rsidRPr="00254055">
        <w:t>адолженност</w:t>
      </w:r>
      <w:r>
        <w:t>и</w:t>
      </w:r>
      <w:r w:rsidRPr="00254055">
        <w:t xml:space="preserve"> физических лиц</w:t>
      </w:r>
      <w:r>
        <w:t xml:space="preserve"> (рис.</w:t>
      </w:r>
      <w:r w:rsidRPr="001F1CAC">
        <w:t>3</w:t>
      </w:r>
      <w:r>
        <w:t>).</w:t>
      </w:r>
    </w:p>
    <w:p w:rsidR="00A65147" w:rsidRPr="00AC0696" w:rsidRDefault="00A65147" w:rsidP="00A65147">
      <w:pPr>
        <w:pStyle w:val="a3"/>
        <w:ind w:left="1429" w:firstLine="0"/>
        <w:rPr>
          <w:sz w:val="10"/>
        </w:rPr>
      </w:pPr>
    </w:p>
    <w:p w:rsidR="00A65147" w:rsidRDefault="00A65147" w:rsidP="00A65147">
      <w:pPr>
        <w:pStyle w:val="a5"/>
        <w:rPr>
          <w:lang w:val="en-US"/>
        </w:rPr>
      </w:pPr>
      <w:r w:rsidRPr="001F1CAC">
        <w:rPr>
          <w:noProof/>
          <w:lang w:eastAsia="ru-RU"/>
        </w:rPr>
        <w:lastRenderedPageBreak/>
        <w:drawing>
          <wp:inline distT="0" distB="0" distL="0" distR="0">
            <wp:extent cx="5781675" cy="26193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jc w:val="center"/>
      </w:pPr>
      <w:r>
        <w:t>Рис. 2.</w:t>
      </w:r>
    </w:p>
    <w:p w:rsidR="00A65147" w:rsidRDefault="00A65147" w:rsidP="00A65147">
      <w:pPr>
        <w:pStyle w:val="a5"/>
      </w:pPr>
      <w:r w:rsidRPr="001F1CAC">
        <w:rPr>
          <w:noProof/>
          <w:lang w:eastAsia="ru-RU"/>
        </w:rPr>
        <w:drawing>
          <wp:inline distT="0" distB="0" distL="0" distR="0">
            <wp:extent cx="5772150" cy="2762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jc w:val="center"/>
      </w:pPr>
      <w:r>
        <w:t>Рис. 3.</w:t>
      </w:r>
    </w:p>
    <w:p w:rsidR="00A65147" w:rsidRPr="00896CC3" w:rsidRDefault="00A65147" w:rsidP="00A65147">
      <w:pPr>
        <w:pStyle w:val="a5"/>
        <w:rPr>
          <w:sz w:val="8"/>
        </w:rPr>
      </w:pPr>
    </w:p>
    <w:p w:rsidR="00A65147" w:rsidRDefault="00A65147" w:rsidP="00A65147">
      <w:r w:rsidRPr="00DC0839">
        <w:t>Обработка и загрузка сведений о</w:t>
      </w:r>
      <w:r>
        <w:t xml:space="preserve"> з</w:t>
      </w:r>
      <w:r w:rsidRPr="00254055">
        <w:t>адолженност</w:t>
      </w:r>
      <w:r>
        <w:t>и</w:t>
      </w:r>
      <w:r w:rsidRPr="0039686D">
        <w:t xml:space="preserve"> </w:t>
      </w:r>
      <w:r w:rsidRPr="00254055">
        <w:t>юридических лиц и индивидуальных предпринимателей</w:t>
      </w:r>
      <w:r>
        <w:t xml:space="preserve">, а также </w:t>
      </w:r>
      <w:r w:rsidRPr="00DC0839">
        <w:t xml:space="preserve">сведений </w:t>
      </w:r>
      <w:r>
        <w:t>о з</w:t>
      </w:r>
      <w:r w:rsidRPr="00254055">
        <w:t>адолженност</w:t>
      </w:r>
      <w:r>
        <w:t>и</w:t>
      </w:r>
      <w:r w:rsidRPr="00254055">
        <w:t xml:space="preserve"> физических лиц</w:t>
      </w:r>
      <w:r>
        <w:t>, однотипна и выполняется по следующей схеме</w:t>
      </w:r>
      <w:r>
        <w:rPr>
          <w:rStyle w:val="af"/>
        </w:rPr>
        <w:footnoteReference w:id="1"/>
      </w:r>
      <w:r>
        <w:t>:</w:t>
      </w:r>
    </w:p>
    <w:p w:rsidR="00A65147" w:rsidRDefault="00A65147" w:rsidP="00A65147">
      <w:pPr>
        <w:pStyle w:val="a3"/>
        <w:numPr>
          <w:ilvl w:val="0"/>
          <w:numId w:val="15"/>
        </w:numPr>
      </w:pPr>
      <w:r>
        <w:t xml:space="preserve">Во-первых, определяется папка с </w:t>
      </w:r>
      <w:r w:rsidRPr="002D5B3C">
        <w:rPr>
          <w:lang w:val="en-US"/>
        </w:rPr>
        <w:t>TAX</w:t>
      </w:r>
      <w:r>
        <w:t>-файлами текущего отчетного периода (рис.4);</w:t>
      </w:r>
    </w:p>
    <w:p w:rsidR="00A65147" w:rsidRDefault="00A65147" w:rsidP="00A65147">
      <w:pPr>
        <w:pStyle w:val="a3"/>
        <w:numPr>
          <w:ilvl w:val="0"/>
          <w:numId w:val="16"/>
        </w:numPr>
      </w:pPr>
      <w:r>
        <w:t xml:space="preserve">Во-вторых, определяется перечень </w:t>
      </w:r>
      <w:r>
        <w:rPr>
          <w:lang w:val="en-US"/>
        </w:rPr>
        <w:t>TAX</w:t>
      </w:r>
      <w:r>
        <w:t>-файлов текущего отчетного периода (рис.5).</w:t>
      </w:r>
    </w:p>
    <w:p w:rsidR="00A65147" w:rsidRPr="00233C53" w:rsidRDefault="00A65147" w:rsidP="00A65147">
      <w:pPr>
        <w:rPr>
          <w:sz w:val="6"/>
        </w:rPr>
      </w:pPr>
    </w:p>
    <w:p w:rsidR="00A65147" w:rsidRDefault="00A65147" w:rsidP="00A65147">
      <w:pPr>
        <w:pStyle w:val="a5"/>
      </w:pPr>
    </w:p>
    <w:p w:rsidR="00A65147" w:rsidRDefault="00A65147" w:rsidP="00A65147">
      <w:pPr>
        <w:pStyle w:val="a5"/>
      </w:pPr>
    </w:p>
    <w:p w:rsidR="00A65147" w:rsidRDefault="00A65147" w:rsidP="00A65147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3048000" cy="3171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533650" cy="3305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pStyle w:val="a5"/>
      </w:pPr>
      <w:r>
        <w:t xml:space="preserve">         Рис. 4.                                                                   Рис. 5.</w:t>
      </w:r>
    </w:p>
    <w:p w:rsidR="00A65147" w:rsidRPr="000B0CF5" w:rsidRDefault="00A65147" w:rsidP="00A65147">
      <w:pPr>
        <w:pStyle w:val="a5"/>
        <w:rPr>
          <w:sz w:val="10"/>
        </w:rPr>
      </w:pPr>
    </w:p>
    <w:p w:rsidR="00A65147" w:rsidRDefault="00A65147" w:rsidP="00A65147">
      <w:r w:rsidRPr="00DC0839">
        <w:t>Обработка и загрузка</w:t>
      </w:r>
      <w:r>
        <w:t xml:space="preserve"> </w:t>
      </w:r>
      <w:r w:rsidRPr="00DC0839">
        <w:t xml:space="preserve">сведений </w:t>
      </w:r>
      <w:r>
        <w:t>о з</w:t>
      </w:r>
      <w:r w:rsidRPr="00254055">
        <w:t>адолженност</w:t>
      </w:r>
      <w:r>
        <w:t>и</w:t>
      </w:r>
      <w:r w:rsidRPr="00254055">
        <w:t xml:space="preserve"> юридических лиц и индивидуальных предпринимателей</w:t>
      </w:r>
      <w:r>
        <w:t xml:space="preserve">, а также </w:t>
      </w:r>
      <w:r w:rsidRPr="00DC0839">
        <w:t>сведений о</w:t>
      </w:r>
      <w:r>
        <w:t xml:space="preserve"> з</w:t>
      </w:r>
      <w:r w:rsidRPr="00254055">
        <w:t>адолженност</w:t>
      </w:r>
      <w:r>
        <w:t>и</w:t>
      </w:r>
      <w:r w:rsidRPr="00254055">
        <w:t xml:space="preserve"> физических лиц</w:t>
      </w:r>
      <w:r>
        <w:t>, визуально протоколируется (рис.6).</w:t>
      </w:r>
    </w:p>
    <w:p w:rsidR="00A65147" w:rsidRPr="006850CD" w:rsidRDefault="00A65147" w:rsidP="00A65147">
      <w:pPr>
        <w:rPr>
          <w:sz w:val="12"/>
        </w:rPr>
      </w:pPr>
    </w:p>
    <w:p w:rsidR="00A65147" w:rsidRDefault="00A65147" w:rsidP="00A651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6275" cy="318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jc w:val="center"/>
      </w:pPr>
      <w:r>
        <w:t>Рис. 6.</w:t>
      </w:r>
    </w:p>
    <w:p w:rsidR="00A65147" w:rsidRDefault="00A65147" w:rsidP="00A65147"/>
    <w:p w:rsidR="00A65147" w:rsidRDefault="00A65147" w:rsidP="00A65147">
      <w:r>
        <w:t xml:space="preserve">При отсутствии информации о задолженности в </w:t>
      </w:r>
      <w:r w:rsidRPr="00C82249">
        <w:rPr>
          <w:lang w:val="en-US"/>
        </w:rPr>
        <w:t>TAX</w:t>
      </w:r>
      <w:r>
        <w:t>-файлах текущего отчетного периода выдается соответствующее уведомление (рис.7, рис.8).</w:t>
      </w:r>
    </w:p>
    <w:p w:rsidR="00A65147" w:rsidRPr="000B0CF5" w:rsidRDefault="00A65147" w:rsidP="00A65147">
      <w:pPr>
        <w:pStyle w:val="a5"/>
        <w:rPr>
          <w:sz w:val="10"/>
        </w:rPr>
      </w:pPr>
    </w:p>
    <w:p w:rsidR="00A65147" w:rsidRDefault="00A65147" w:rsidP="00A65147">
      <w:pPr>
        <w:pStyle w:val="a5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52800" cy="140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A7E">
        <w:t xml:space="preserve"> </w:t>
      </w:r>
      <w:r>
        <w:rPr>
          <w:lang w:val="en-US"/>
        </w:rPr>
        <w:t xml:space="preserve"> </w:t>
      </w:r>
    </w:p>
    <w:p w:rsidR="00A65147" w:rsidRDefault="00A65147" w:rsidP="00A65147">
      <w:pPr>
        <w:jc w:val="center"/>
      </w:pPr>
      <w:r>
        <w:t>Рис. 7.</w:t>
      </w:r>
    </w:p>
    <w:p w:rsidR="00A65147" w:rsidRPr="004F6A7E" w:rsidRDefault="00A65147" w:rsidP="00A65147">
      <w:pPr>
        <w:pStyle w:val="a5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52800" cy="1400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jc w:val="center"/>
      </w:pPr>
      <w:r>
        <w:t>Рис. 8.</w:t>
      </w:r>
    </w:p>
    <w:p w:rsidR="00A65147" w:rsidRPr="00A866B7" w:rsidRDefault="00A65147" w:rsidP="00A65147">
      <w:pPr>
        <w:pStyle w:val="a5"/>
        <w:rPr>
          <w:sz w:val="6"/>
        </w:rPr>
      </w:pPr>
    </w:p>
    <w:p w:rsidR="00A65147" w:rsidRPr="00087582" w:rsidRDefault="00A65147" w:rsidP="00A65147">
      <w:pPr>
        <w:pStyle w:val="a3"/>
        <w:numPr>
          <w:ilvl w:val="0"/>
          <w:numId w:val="5"/>
        </w:numPr>
        <w:rPr>
          <w:b/>
          <w:color w:val="2F5496" w:themeColor="accent5" w:themeShade="BF"/>
          <w:sz w:val="24"/>
        </w:rPr>
      </w:pPr>
      <w:r w:rsidRPr="00087582">
        <w:rPr>
          <w:b/>
          <w:color w:val="2F5496" w:themeColor="accent5" w:themeShade="BF"/>
          <w:sz w:val="24"/>
        </w:rPr>
        <w:t>Мониторинг сведений о задолженности физических лиц, юридических лиц и индивидуальных предпринимателей</w:t>
      </w:r>
      <w:r w:rsidRPr="00087582">
        <w:rPr>
          <w:rStyle w:val="af"/>
          <w:b/>
          <w:color w:val="2F5496" w:themeColor="accent5" w:themeShade="BF"/>
          <w:sz w:val="24"/>
        </w:rPr>
        <w:footnoteReference w:id="2"/>
      </w:r>
    </w:p>
    <w:p w:rsidR="00A65147" w:rsidRDefault="00A65147" w:rsidP="00A65147">
      <w:r>
        <w:t>Для проведения м</w:t>
      </w:r>
      <w:r w:rsidRPr="00CC058A">
        <w:t>ониторинг</w:t>
      </w:r>
      <w:r>
        <w:t>а</w:t>
      </w:r>
      <w:r w:rsidRPr="00CC058A">
        <w:t xml:space="preserve"> задолженности физических лиц, юридических лиц и индивидуальных предпринимателей</w:t>
      </w:r>
      <w:r>
        <w:t>, необходимо активировать соответствующий раздел меню (рис.9): «Мониторинг» – «Своды и выборки» - «Задолженность» - «Юридические лица и ИП» или «Мониторинг» – «Своды и выборки» - «Задолженность» - «Физические лица».</w:t>
      </w:r>
    </w:p>
    <w:p w:rsidR="00A65147" w:rsidRPr="00A866B7" w:rsidRDefault="00A65147" w:rsidP="00A65147">
      <w:pPr>
        <w:pStyle w:val="a5"/>
        <w:jc w:val="left"/>
        <w:rPr>
          <w:sz w:val="8"/>
          <w:szCs w:val="20"/>
        </w:rPr>
      </w:pPr>
    </w:p>
    <w:p w:rsidR="00A65147" w:rsidRDefault="00A65147" w:rsidP="00A65147">
      <w:pPr>
        <w:pStyle w:val="a5"/>
        <w:jc w:val="left"/>
      </w:pPr>
      <w:r>
        <w:rPr>
          <w:noProof/>
          <w:lang w:eastAsia="ru-RU"/>
        </w:rPr>
        <w:drawing>
          <wp:inline distT="0" distB="0" distL="0" distR="0">
            <wp:extent cx="6035040" cy="164592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ED">
        <w:t xml:space="preserve">   </w:t>
      </w:r>
    </w:p>
    <w:p w:rsidR="00A65147" w:rsidRDefault="00A65147" w:rsidP="00A65147">
      <w:pPr>
        <w:pStyle w:val="a5"/>
      </w:pPr>
      <w:r>
        <w:t>Рис 9.</w:t>
      </w:r>
    </w:p>
    <w:p w:rsidR="00A65147" w:rsidRPr="00896CC3" w:rsidRDefault="00A65147" w:rsidP="00A65147">
      <w:pPr>
        <w:pStyle w:val="a5"/>
        <w:rPr>
          <w:sz w:val="16"/>
        </w:rPr>
      </w:pPr>
    </w:p>
    <w:p w:rsidR="00A65147" w:rsidRPr="00704CED" w:rsidRDefault="00A65147" w:rsidP="00A65147">
      <w:r>
        <w:t>Затем, определиться с информационным ресурсом текущего отчетного периода и получить соответствующую видео</w:t>
      </w:r>
      <w:r w:rsidRPr="00C53F58">
        <w:t>-</w:t>
      </w:r>
      <w:r>
        <w:t xml:space="preserve">грамму (рис.10 или рис11) </w:t>
      </w:r>
    </w:p>
    <w:p w:rsidR="00A65147" w:rsidRDefault="00A65147" w:rsidP="00A65147">
      <w:r>
        <w:t>Детально, этап</w:t>
      </w:r>
      <w:r w:rsidRPr="00DC0839">
        <w:t xml:space="preserve"> </w:t>
      </w:r>
      <w:r>
        <w:t xml:space="preserve">мониторинга </w:t>
      </w:r>
      <w:r w:rsidRPr="00DC0839">
        <w:t>описан в документ</w:t>
      </w:r>
      <w:r>
        <w:t>е</w:t>
      </w:r>
      <w:r w:rsidRPr="00DC0839">
        <w:t xml:space="preserve"> «Руководство пользователя программы «Мониторинг налоговых доходов» (ФНС-65н) - базовая версия</w:t>
      </w:r>
      <w:r>
        <w:t>.</w:t>
      </w:r>
    </w:p>
    <w:p w:rsidR="00A65147" w:rsidRPr="00FE4462" w:rsidRDefault="00A65147" w:rsidP="00A65147">
      <w:pPr>
        <w:rPr>
          <w:b/>
        </w:rPr>
      </w:pPr>
      <w:r w:rsidRPr="00906FF2">
        <w:rPr>
          <w:b/>
        </w:rPr>
        <w:lastRenderedPageBreak/>
        <w:t xml:space="preserve">               </w:t>
      </w:r>
      <w:r>
        <w:rPr>
          <w:b/>
          <w:noProof/>
          <w:lang w:eastAsia="ru-RU"/>
        </w:rPr>
        <w:drawing>
          <wp:inline distT="0" distB="0" distL="0" distR="0">
            <wp:extent cx="8072864" cy="1920070"/>
            <wp:effectExtent l="9525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7260" cy="20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462">
        <w:rPr>
          <w:b/>
        </w:rPr>
        <w:t xml:space="preserve">                  </w:t>
      </w:r>
      <w:r>
        <w:rPr>
          <w:b/>
          <w:noProof/>
          <w:lang w:eastAsia="ru-RU"/>
        </w:rPr>
        <w:drawing>
          <wp:inline distT="0" distB="0" distL="0" distR="0">
            <wp:extent cx="8012514" cy="1839545"/>
            <wp:effectExtent l="635" t="0" r="825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41431" cy="191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jc w:val="center"/>
      </w:pPr>
      <w:r>
        <w:t xml:space="preserve"> Рис. 10.                                                      Рис. 11.</w:t>
      </w:r>
    </w:p>
    <w:p w:rsidR="00A65147" w:rsidRDefault="00A65147" w:rsidP="00A65147">
      <w:pPr>
        <w:rPr>
          <w:b/>
        </w:rPr>
      </w:pPr>
      <w:r>
        <w:t>В процессе мониторинга возможно получение следующих справок (рис.12 или рис.13).</w:t>
      </w:r>
    </w:p>
    <w:p w:rsidR="00A65147" w:rsidRDefault="00A65147" w:rsidP="00A65147">
      <w:pPr>
        <w:rPr>
          <w:b/>
        </w:rPr>
      </w:pPr>
    </w:p>
    <w:p w:rsidR="00A65147" w:rsidRDefault="00A65147" w:rsidP="00A65147">
      <w:pPr>
        <w:rPr>
          <w:b/>
        </w:rPr>
      </w:pPr>
    </w:p>
    <w:p w:rsidR="00A65147" w:rsidRDefault="00A65147" w:rsidP="00A6514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72175" cy="2638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pStyle w:val="a5"/>
      </w:pPr>
      <w:r>
        <w:t>Рис 12.</w:t>
      </w:r>
    </w:p>
    <w:p w:rsidR="00A65147" w:rsidRDefault="00A65147" w:rsidP="00A65147">
      <w:pPr>
        <w:pStyle w:val="a5"/>
      </w:pPr>
    </w:p>
    <w:p w:rsidR="00A65147" w:rsidRDefault="00A65147" w:rsidP="00A65147">
      <w:r>
        <w:rPr>
          <w:noProof/>
          <w:lang w:eastAsia="ru-RU"/>
        </w:rPr>
        <w:lastRenderedPageBreak/>
        <w:drawing>
          <wp:inline distT="0" distB="0" distL="0" distR="0">
            <wp:extent cx="5934075" cy="27051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47" w:rsidRDefault="00A65147" w:rsidP="00A65147">
      <w:pPr>
        <w:pStyle w:val="a5"/>
      </w:pPr>
      <w:r>
        <w:t>Рис 13.</w:t>
      </w:r>
    </w:p>
    <w:p w:rsidR="00A65147" w:rsidRDefault="00A65147" w:rsidP="00A65147">
      <w:pPr>
        <w:rPr>
          <w:b/>
        </w:rPr>
      </w:pPr>
    </w:p>
    <w:p w:rsidR="00A65147" w:rsidRPr="00F12916" w:rsidRDefault="00A65147" w:rsidP="00A65147">
      <w:pPr>
        <w:pStyle w:val="a3"/>
        <w:numPr>
          <w:ilvl w:val="0"/>
          <w:numId w:val="5"/>
        </w:numPr>
        <w:rPr>
          <w:b/>
          <w:color w:val="2F5496" w:themeColor="accent5" w:themeShade="BF"/>
          <w:sz w:val="24"/>
        </w:rPr>
      </w:pPr>
      <w:r w:rsidRPr="00F12916">
        <w:rPr>
          <w:b/>
          <w:color w:val="2F5496" w:themeColor="accent5" w:themeShade="BF"/>
          <w:sz w:val="24"/>
        </w:rPr>
        <w:t>Получение регламентированных документов о задолженности физических лиц, юридических лиц и индивидуальных предпринимателей</w:t>
      </w:r>
    </w:p>
    <w:p w:rsidR="00A65147" w:rsidRDefault="00A65147" w:rsidP="00A65147">
      <w:r>
        <w:t>Для п</w:t>
      </w:r>
      <w:r w:rsidRPr="00CC058A">
        <w:t>олучени</w:t>
      </w:r>
      <w:r>
        <w:t>я</w:t>
      </w:r>
      <w:r w:rsidRPr="00CC058A">
        <w:t xml:space="preserve"> регламентированных документов о задолженности физических лиц, юридических лиц и индивидуальных предпринимателей</w:t>
      </w:r>
      <w:r>
        <w:t>, необходимо активировать режим «Документы» и отметить нужные документы (рис.14).</w:t>
      </w:r>
    </w:p>
    <w:p w:rsidR="00A65147" w:rsidRDefault="00A65147" w:rsidP="00A65147"/>
    <w:p w:rsidR="00A65147" w:rsidRDefault="00A65147" w:rsidP="00A65147"/>
    <w:p w:rsidR="00A65147" w:rsidRDefault="00A65147" w:rsidP="00A65147">
      <w:pPr>
        <w:pStyle w:val="a5"/>
        <w:rPr>
          <w:b/>
        </w:rPr>
      </w:pPr>
    </w:p>
    <w:p w:rsidR="00A65147" w:rsidRDefault="00A65147" w:rsidP="00A65147">
      <w:pPr>
        <w:pStyle w:val="a5"/>
        <w:rPr>
          <w:b/>
        </w:rPr>
      </w:pPr>
    </w:p>
    <w:p w:rsidR="00A65147" w:rsidRDefault="00A65147" w:rsidP="00A65147">
      <w:pPr>
        <w:pStyle w:val="a5"/>
        <w:rPr>
          <w:b/>
        </w:rPr>
      </w:pPr>
    </w:p>
    <w:p w:rsidR="00A65147" w:rsidRDefault="00A65147" w:rsidP="00A65147">
      <w:pPr>
        <w:pStyle w:val="a5"/>
        <w:rPr>
          <w:b/>
        </w:rPr>
      </w:pPr>
    </w:p>
    <w:p w:rsidR="00A65147" w:rsidRDefault="006846BB" w:rsidP="00A65147">
      <w:pPr>
        <w:pStyle w:val="a5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819775" cy="6019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47" w:rsidRPr="00EA727F" w:rsidRDefault="00A65147" w:rsidP="00A65147">
      <w:pPr>
        <w:pStyle w:val="a5"/>
        <w:rPr>
          <w:b/>
          <w:sz w:val="10"/>
        </w:rPr>
      </w:pPr>
    </w:p>
    <w:p w:rsidR="00A65147" w:rsidRDefault="00A65147" w:rsidP="00A65147">
      <w:pPr>
        <w:pStyle w:val="a5"/>
      </w:pPr>
      <w:r>
        <w:t>Рис. 14.</w:t>
      </w:r>
    </w:p>
    <w:p w:rsidR="00A65147" w:rsidRDefault="00A65147" w:rsidP="00A65147">
      <w:pPr>
        <w:pStyle w:val="a5"/>
      </w:pPr>
    </w:p>
    <w:p w:rsidR="00A65147" w:rsidRDefault="00A65147" w:rsidP="00A65147">
      <w:r>
        <w:t>При получении соответствующего документа нужно указать текущий отчетный период (рис.15).</w:t>
      </w:r>
    </w:p>
    <w:p w:rsidR="00A65147" w:rsidRDefault="00A65147" w:rsidP="00A65147">
      <w:pPr>
        <w:pStyle w:val="a5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57525" cy="1438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Pr="00563E27" w:rsidRDefault="00A65147" w:rsidP="00A65147">
      <w:pPr>
        <w:pStyle w:val="a5"/>
      </w:pPr>
      <w:r>
        <w:t>Рис. 15.</w:t>
      </w:r>
    </w:p>
    <w:p w:rsidR="00A65147" w:rsidRDefault="00A65147" w:rsidP="00A65147">
      <w:pPr>
        <w:rPr>
          <w:b/>
        </w:rPr>
      </w:pPr>
    </w:p>
    <w:p w:rsidR="00A65147" w:rsidRDefault="00A65147" w:rsidP="00A65147">
      <w:pPr>
        <w:rPr>
          <w:b/>
        </w:rPr>
      </w:pPr>
    </w:p>
    <w:p w:rsidR="00A65147" w:rsidRPr="00F12916" w:rsidRDefault="00A65147" w:rsidP="00A65147">
      <w:pPr>
        <w:pStyle w:val="a3"/>
        <w:numPr>
          <w:ilvl w:val="0"/>
          <w:numId w:val="5"/>
        </w:numPr>
        <w:rPr>
          <w:b/>
          <w:color w:val="2F5496" w:themeColor="accent5" w:themeShade="BF"/>
          <w:sz w:val="24"/>
        </w:rPr>
      </w:pPr>
      <w:r w:rsidRPr="00F12916">
        <w:rPr>
          <w:b/>
          <w:color w:val="2F5496" w:themeColor="accent5" w:themeShade="BF"/>
          <w:sz w:val="24"/>
        </w:rPr>
        <w:t>Ведение адресов фи</w:t>
      </w:r>
      <w:r>
        <w:rPr>
          <w:b/>
          <w:color w:val="2F5496" w:themeColor="accent5" w:themeShade="BF"/>
          <w:sz w:val="24"/>
        </w:rPr>
        <w:t>нансовых органов муниципальных образований в формате ФИАС</w:t>
      </w:r>
    </w:p>
    <w:p w:rsidR="00A65147" w:rsidRPr="005B4D35" w:rsidRDefault="00A65147" w:rsidP="00A65147">
      <w:pPr>
        <w:rPr>
          <w:lang w:eastAsia="ru-RU"/>
        </w:rPr>
      </w:pPr>
      <w:r w:rsidRPr="005B4D35">
        <w:rPr>
          <w:lang w:eastAsia="ru-RU"/>
        </w:rPr>
        <w:t>Приказом Минфина России № 104н, ФНС России № ЕД-7-1/692@ от 28.07.2021 г. определено, что адреса администраций м</w:t>
      </w:r>
      <w:r>
        <w:rPr>
          <w:lang w:eastAsia="ru-RU"/>
        </w:rPr>
        <w:t>у</w:t>
      </w:r>
      <w:r w:rsidRPr="005B4D35">
        <w:rPr>
          <w:lang w:eastAsia="ru-RU"/>
        </w:rPr>
        <w:t>ниципаль</w:t>
      </w:r>
      <w:r>
        <w:rPr>
          <w:lang w:eastAsia="ru-RU"/>
        </w:rPr>
        <w:t>н</w:t>
      </w:r>
      <w:r w:rsidRPr="005B4D35">
        <w:rPr>
          <w:lang w:eastAsia="ru-RU"/>
        </w:rPr>
        <w:t>ых образований теперь должны представляться в формате ФИАС (ранее</w:t>
      </w:r>
      <w:r>
        <w:rPr>
          <w:lang w:eastAsia="ru-RU"/>
        </w:rPr>
        <w:t>, в</w:t>
      </w:r>
      <w:r w:rsidRPr="005B4D35">
        <w:rPr>
          <w:lang w:eastAsia="ru-RU"/>
        </w:rPr>
        <w:t xml:space="preserve"> формате КЛАДР).</w:t>
      </w:r>
    </w:p>
    <w:p w:rsidR="00A65147" w:rsidRPr="005B4D35" w:rsidRDefault="00A65147" w:rsidP="00A65147">
      <w:pPr>
        <w:rPr>
          <w:lang w:eastAsia="ru-RU"/>
        </w:rPr>
      </w:pPr>
      <w:r w:rsidRPr="005B4D35">
        <w:rPr>
          <w:lang w:eastAsia="ru-RU"/>
        </w:rPr>
        <w:t>В соответствии с этим изменился макет подготовки адреса (рис.16)</w:t>
      </w:r>
    </w:p>
    <w:p w:rsidR="00A65147" w:rsidRPr="00F12916" w:rsidRDefault="00A65147" w:rsidP="00A65147">
      <w:pPr>
        <w:rPr>
          <w:sz w:val="10"/>
          <w:lang w:eastAsia="ru-RU"/>
        </w:rPr>
      </w:pPr>
    </w:p>
    <w:p w:rsidR="00A65147" w:rsidRDefault="00A65147" w:rsidP="00A65147">
      <w:pPr>
        <w:pStyle w:val="a5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449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47" w:rsidRPr="005B4D35" w:rsidRDefault="00A65147" w:rsidP="00A65147">
      <w:pPr>
        <w:pStyle w:val="a5"/>
        <w:rPr>
          <w:lang w:eastAsia="ru-RU"/>
        </w:rPr>
      </w:pPr>
      <w:r>
        <w:rPr>
          <w:lang w:eastAsia="ru-RU"/>
        </w:rPr>
        <w:t>Рис. 16.</w:t>
      </w:r>
    </w:p>
    <w:p w:rsidR="00A65147" w:rsidRDefault="00A65147" w:rsidP="00A65147">
      <w:pPr>
        <w:rPr>
          <w:lang w:eastAsia="ru-RU"/>
        </w:rPr>
      </w:pPr>
      <w:r w:rsidRPr="005B4D35">
        <w:rPr>
          <w:lang w:eastAsia="ru-RU"/>
        </w:rPr>
        <w:t>Детально</w:t>
      </w:r>
      <w:r>
        <w:rPr>
          <w:lang w:eastAsia="ru-RU"/>
        </w:rPr>
        <w:t>,</w:t>
      </w:r>
      <w:r w:rsidRPr="005B4D35">
        <w:rPr>
          <w:lang w:eastAsia="ru-RU"/>
        </w:rPr>
        <w:t xml:space="preserve"> Функция «Адресные данные» описана в документах</w:t>
      </w:r>
      <w:r>
        <w:rPr>
          <w:lang w:eastAsia="ru-RU"/>
        </w:rPr>
        <w:t>:</w:t>
      </w:r>
      <w:r w:rsidRPr="005B4D35">
        <w:rPr>
          <w:lang w:eastAsia="ru-RU"/>
        </w:rPr>
        <w:t xml:space="preserve"> «Руководство пользователя программы «Мониторинг налоговых доходов» (ФНС-65н) - базовая версия, «Руководство пользователя программы «Мониторинг налоговых доходов» (ФНС-65н) - упрощенная версия.</w:t>
      </w:r>
    </w:p>
    <w:p w:rsidR="00A65147" w:rsidRDefault="00A65147" w:rsidP="00A65147">
      <w:pPr>
        <w:rPr>
          <w:lang w:eastAsia="ru-RU"/>
        </w:rPr>
      </w:pPr>
    </w:p>
    <w:p w:rsidR="00A65147" w:rsidRPr="00A03655" w:rsidRDefault="00A65147" w:rsidP="004D7B1A">
      <w:pPr>
        <w:rPr>
          <w:lang w:eastAsia="ru-RU"/>
        </w:rPr>
      </w:pPr>
    </w:p>
    <w:sectPr w:rsidR="00A65147" w:rsidRPr="00A03655" w:rsidSect="00233E4E">
      <w:footerReference w:type="default" r:id="rId28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F2" w:rsidRDefault="00B638F2" w:rsidP="00431B13">
      <w:pPr>
        <w:spacing w:before="0" w:after="0" w:line="240" w:lineRule="auto"/>
      </w:pPr>
      <w:r>
        <w:separator/>
      </w:r>
    </w:p>
  </w:endnote>
  <w:endnote w:type="continuationSeparator" w:id="0">
    <w:p w:rsidR="00B638F2" w:rsidRDefault="00B638F2" w:rsidP="00431B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846633"/>
      <w:docPartObj>
        <w:docPartGallery w:val="Page Numbers (Bottom of Page)"/>
        <w:docPartUnique/>
      </w:docPartObj>
    </w:sdtPr>
    <w:sdtContent>
      <w:p w:rsidR="00685B6F" w:rsidRDefault="00BC0351">
        <w:pPr>
          <w:pStyle w:val="ab"/>
          <w:jc w:val="right"/>
        </w:pPr>
        <w:r>
          <w:fldChar w:fldCharType="begin"/>
        </w:r>
        <w:r w:rsidR="00685B6F">
          <w:instrText>PAGE   \* MERGEFORMAT</w:instrText>
        </w:r>
        <w:r>
          <w:fldChar w:fldCharType="separate"/>
        </w:r>
        <w:r w:rsidR="008834DA">
          <w:rPr>
            <w:noProof/>
          </w:rPr>
          <w:t>6</w:t>
        </w:r>
        <w:r>
          <w:fldChar w:fldCharType="end"/>
        </w:r>
      </w:p>
    </w:sdtContent>
  </w:sdt>
  <w:p w:rsidR="00685B6F" w:rsidRDefault="00685B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F2" w:rsidRDefault="00B638F2" w:rsidP="00431B13">
      <w:pPr>
        <w:spacing w:before="0" w:after="0" w:line="240" w:lineRule="auto"/>
      </w:pPr>
      <w:r>
        <w:separator/>
      </w:r>
    </w:p>
  </w:footnote>
  <w:footnote w:type="continuationSeparator" w:id="0">
    <w:p w:rsidR="00B638F2" w:rsidRDefault="00B638F2" w:rsidP="00431B13">
      <w:pPr>
        <w:spacing w:before="0" w:after="0" w:line="240" w:lineRule="auto"/>
      </w:pPr>
      <w:r>
        <w:continuationSeparator/>
      </w:r>
    </w:p>
  </w:footnote>
  <w:footnote w:id="1">
    <w:p w:rsidR="00A65147" w:rsidRPr="00CC327F" w:rsidRDefault="00A65147" w:rsidP="00A65147">
      <w:pPr>
        <w:pStyle w:val="a6"/>
      </w:pPr>
      <w:r w:rsidRPr="00CC327F">
        <w:rPr>
          <w:rStyle w:val="af"/>
        </w:rPr>
        <w:footnoteRef/>
      </w:r>
      <w:r w:rsidRPr="00CC327F">
        <w:t xml:space="preserve"> Обработка и загрузка сведений</w:t>
      </w:r>
      <w:r w:rsidRPr="0039686D">
        <w:t xml:space="preserve"> </w:t>
      </w:r>
      <w:r w:rsidRPr="00CC327F">
        <w:t xml:space="preserve">о задолженности юридических лиц и индивидуальных предпринимателей, а также сведений о задолженности физических лиц, </w:t>
      </w:r>
      <w:r>
        <w:t xml:space="preserve">может </w:t>
      </w:r>
      <w:r w:rsidRPr="00CC327F">
        <w:t>выполнятся</w:t>
      </w:r>
      <w:r>
        <w:t xml:space="preserve"> автономно</w:t>
      </w:r>
      <w:r w:rsidRPr="00CC327F">
        <w:t xml:space="preserve"> </w:t>
      </w:r>
      <w:r>
        <w:t>без</w:t>
      </w:r>
      <w:r w:rsidRPr="00CC327F">
        <w:t xml:space="preserve"> </w:t>
      </w:r>
      <w:r>
        <w:t xml:space="preserve">предварительной </w:t>
      </w:r>
      <w:r w:rsidRPr="00CC327F">
        <w:t>обработки и загрузки сведений о налогах, сборах и иных обязательных платежей текущего отчетного периода.</w:t>
      </w:r>
    </w:p>
    <w:p w:rsidR="00A65147" w:rsidRDefault="00A65147" w:rsidP="00A65147">
      <w:pPr>
        <w:pStyle w:val="ad"/>
      </w:pPr>
    </w:p>
  </w:footnote>
  <w:footnote w:id="2">
    <w:p w:rsidR="00A65147" w:rsidRPr="00CC327F" w:rsidRDefault="00A65147" w:rsidP="00A65147">
      <w:r w:rsidRPr="00CC327F">
        <w:rPr>
          <w:rStyle w:val="af"/>
        </w:rPr>
        <w:footnoteRef/>
      </w:r>
      <w:r w:rsidRPr="00CC327F">
        <w:t xml:space="preserve"> Кроме упрощенной версии программы «Мониторинг налоговых доходов» (ФНС-65н)</w:t>
      </w:r>
    </w:p>
    <w:p w:rsidR="00A65147" w:rsidRPr="00233C53" w:rsidRDefault="00A65147" w:rsidP="00A65147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5.75pt;height:15pt;visibility:visible;mso-wrap-style:square" o:bullet="t">
        <v:imagedata r:id="rId2" o:title=""/>
      </v:shape>
    </w:pict>
  </w:numPicBullet>
  <w:abstractNum w:abstractNumId="0">
    <w:nsid w:val="039F105C"/>
    <w:multiLevelType w:val="hybridMultilevel"/>
    <w:tmpl w:val="8C4A5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880E50"/>
    <w:multiLevelType w:val="hybridMultilevel"/>
    <w:tmpl w:val="1B108C9A"/>
    <w:lvl w:ilvl="0" w:tplc="7E3AF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97DCF"/>
    <w:multiLevelType w:val="hybridMultilevel"/>
    <w:tmpl w:val="ED0222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52981"/>
    <w:multiLevelType w:val="hybridMultilevel"/>
    <w:tmpl w:val="D08887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56ED8"/>
    <w:multiLevelType w:val="hybridMultilevel"/>
    <w:tmpl w:val="B7D03C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B6DF0"/>
    <w:multiLevelType w:val="hybridMultilevel"/>
    <w:tmpl w:val="BA76F9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53F2F"/>
    <w:multiLevelType w:val="hybridMultilevel"/>
    <w:tmpl w:val="D17071F4"/>
    <w:lvl w:ilvl="0" w:tplc="E2927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C83792"/>
    <w:multiLevelType w:val="hybridMultilevel"/>
    <w:tmpl w:val="B8E01E86"/>
    <w:lvl w:ilvl="0" w:tplc="648E23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E1CCC"/>
    <w:multiLevelType w:val="hybridMultilevel"/>
    <w:tmpl w:val="0AEC41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C06578"/>
    <w:multiLevelType w:val="hybridMultilevel"/>
    <w:tmpl w:val="CE9CB4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491DC8"/>
    <w:multiLevelType w:val="hybridMultilevel"/>
    <w:tmpl w:val="90F4842C"/>
    <w:lvl w:ilvl="0" w:tplc="3ED2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306DEA"/>
    <w:multiLevelType w:val="hybridMultilevel"/>
    <w:tmpl w:val="E81C1E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BCC07D2"/>
    <w:multiLevelType w:val="hybridMultilevel"/>
    <w:tmpl w:val="E0EAF5E0"/>
    <w:lvl w:ilvl="0" w:tplc="0456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DF7702"/>
    <w:multiLevelType w:val="hybridMultilevel"/>
    <w:tmpl w:val="D58007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0C81A0C"/>
    <w:multiLevelType w:val="hybridMultilevel"/>
    <w:tmpl w:val="FFC02432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4E27AE2"/>
    <w:multiLevelType w:val="hybridMultilevel"/>
    <w:tmpl w:val="E86876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3DD3741"/>
    <w:multiLevelType w:val="hybridMultilevel"/>
    <w:tmpl w:val="B3A2DA98"/>
    <w:lvl w:ilvl="0" w:tplc="F4B09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D5F9D"/>
    <w:multiLevelType w:val="hybridMultilevel"/>
    <w:tmpl w:val="83B40D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16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DC6"/>
    <w:rsid w:val="000054C3"/>
    <w:rsid w:val="000060CF"/>
    <w:rsid w:val="0003398C"/>
    <w:rsid w:val="000412DF"/>
    <w:rsid w:val="00043CBA"/>
    <w:rsid w:val="00052693"/>
    <w:rsid w:val="00060869"/>
    <w:rsid w:val="0007219F"/>
    <w:rsid w:val="0007767D"/>
    <w:rsid w:val="00086B6D"/>
    <w:rsid w:val="00087582"/>
    <w:rsid w:val="000918B2"/>
    <w:rsid w:val="000923CB"/>
    <w:rsid w:val="00093D47"/>
    <w:rsid w:val="000A6269"/>
    <w:rsid w:val="000A6A5C"/>
    <w:rsid w:val="000A7516"/>
    <w:rsid w:val="000B0CF5"/>
    <w:rsid w:val="000C0D0F"/>
    <w:rsid w:val="000C5448"/>
    <w:rsid w:val="000E00A0"/>
    <w:rsid w:val="000E6B2C"/>
    <w:rsid w:val="000E76FC"/>
    <w:rsid w:val="000F61AE"/>
    <w:rsid w:val="00105A00"/>
    <w:rsid w:val="00126F26"/>
    <w:rsid w:val="001405BB"/>
    <w:rsid w:val="00152109"/>
    <w:rsid w:val="00162647"/>
    <w:rsid w:val="00183B80"/>
    <w:rsid w:val="0018734D"/>
    <w:rsid w:val="001A6AB6"/>
    <w:rsid w:val="001C3B1C"/>
    <w:rsid w:val="001D2F6C"/>
    <w:rsid w:val="001F1CAC"/>
    <w:rsid w:val="001F653E"/>
    <w:rsid w:val="00203295"/>
    <w:rsid w:val="002168CE"/>
    <w:rsid w:val="00233C53"/>
    <w:rsid w:val="00233E4E"/>
    <w:rsid w:val="0023477D"/>
    <w:rsid w:val="00251459"/>
    <w:rsid w:val="00254055"/>
    <w:rsid w:val="0027278D"/>
    <w:rsid w:val="0027509D"/>
    <w:rsid w:val="00282D1D"/>
    <w:rsid w:val="002B2374"/>
    <w:rsid w:val="002D0E05"/>
    <w:rsid w:val="002D5B3C"/>
    <w:rsid w:val="002D5CF4"/>
    <w:rsid w:val="002D7830"/>
    <w:rsid w:val="002E77B9"/>
    <w:rsid w:val="00325CB4"/>
    <w:rsid w:val="0033678C"/>
    <w:rsid w:val="003402FD"/>
    <w:rsid w:val="003437BD"/>
    <w:rsid w:val="00351B88"/>
    <w:rsid w:val="003612D9"/>
    <w:rsid w:val="00361D89"/>
    <w:rsid w:val="00367D7E"/>
    <w:rsid w:val="00380654"/>
    <w:rsid w:val="00381A63"/>
    <w:rsid w:val="0039686D"/>
    <w:rsid w:val="003C07BC"/>
    <w:rsid w:val="00405A35"/>
    <w:rsid w:val="00425BD2"/>
    <w:rsid w:val="00431B13"/>
    <w:rsid w:val="00434284"/>
    <w:rsid w:val="004435A1"/>
    <w:rsid w:val="004B786F"/>
    <w:rsid w:val="004D004D"/>
    <w:rsid w:val="004D7B1A"/>
    <w:rsid w:val="004F6A7E"/>
    <w:rsid w:val="0053054B"/>
    <w:rsid w:val="00530F84"/>
    <w:rsid w:val="005365DD"/>
    <w:rsid w:val="00544CEA"/>
    <w:rsid w:val="00555A70"/>
    <w:rsid w:val="00563E27"/>
    <w:rsid w:val="00592F68"/>
    <w:rsid w:val="00593A39"/>
    <w:rsid w:val="00597ACC"/>
    <w:rsid w:val="005A2E33"/>
    <w:rsid w:val="005B0A2F"/>
    <w:rsid w:val="005B4D35"/>
    <w:rsid w:val="005C2939"/>
    <w:rsid w:val="005C2E1A"/>
    <w:rsid w:val="005E2087"/>
    <w:rsid w:val="00600D90"/>
    <w:rsid w:val="00610618"/>
    <w:rsid w:val="006207CB"/>
    <w:rsid w:val="00625122"/>
    <w:rsid w:val="006846BB"/>
    <w:rsid w:val="00684F58"/>
    <w:rsid w:val="006850CD"/>
    <w:rsid w:val="00685B6F"/>
    <w:rsid w:val="00691DE9"/>
    <w:rsid w:val="00691E9C"/>
    <w:rsid w:val="006E69B5"/>
    <w:rsid w:val="006F0D8C"/>
    <w:rsid w:val="006F3787"/>
    <w:rsid w:val="00704CED"/>
    <w:rsid w:val="00721651"/>
    <w:rsid w:val="007268DB"/>
    <w:rsid w:val="00733452"/>
    <w:rsid w:val="007578C3"/>
    <w:rsid w:val="007714F4"/>
    <w:rsid w:val="00792EF4"/>
    <w:rsid w:val="00796890"/>
    <w:rsid w:val="007A2F21"/>
    <w:rsid w:val="007A70A3"/>
    <w:rsid w:val="007B3DC6"/>
    <w:rsid w:val="007D2FBC"/>
    <w:rsid w:val="00804F20"/>
    <w:rsid w:val="00846D87"/>
    <w:rsid w:val="008577A7"/>
    <w:rsid w:val="00857F69"/>
    <w:rsid w:val="00863A45"/>
    <w:rsid w:val="0086512A"/>
    <w:rsid w:val="008653CE"/>
    <w:rsid w:val="008834DA"/>
    <w:rsid w:val="00896CC3"/>
    <w:rsid w:val="008B41C9"/>
    <w:rsid w:val="008C4905"/>
    <w:rsid w:val="008D4071"/>
    <w:rsid w:val="008E15C8"/>
    <w:rsid w:val="00906FF2"/>
    <w:rsid w:val="00912EEC"/>
    <w:rsid w:val="00926A9E"/>
    <w:rsid w:val="00927FF6"/>
    <w:rsid w:val="00943D47"/>
    <w:rsid w:val="00955AF0"/>
    <w:rsid w:val="00965297"/>
    <w:rsid w:val="0096600A"/>
    <w:rsid w:val="00987AA9"/>
    <w:rsid w:val="009A36FD"/>
    <w:rsid w:val="009A5AB8"/>
    <w:rsid w:val="009B7888"/>
    <w:rsid w:val="00A03655"/>
    <w:rsid w:val="00A04923"/>
    <w:rsid w:val="00A152FC"/>
    <w:rsid w:val="00A35DDB"/>
    <w:rsid w:val="00A45648"/>
    <w:rsid w:val="00A47DE4"/>
    <w:rsid w:val="00A65147"/>
    <w:rsid w:val="00A732E2"/>
    <w:rsid w:val="00A8497A"/>
    <w:rsid w:val="00A866B7"/>
    <w:rsid w:val="00A93250"/>
    <w:rsid w:val="00AC0696"/>
    <w:rsid w:val="00AC37EA"/>
    <w:rsid w:val="00AE06E6"/>
    <w:rsid w:val="00AE6977"/>
    <w:rsid w:val="00B17148"/>
    <w:rsid w:val="00B307E2"/>
    <w:rsid w:val="00B62D48"/>
    <w:rsid w:val="00B6384E"/>
    <w:rsid w:val="00B638F2"/>
    <w:rsid w:val="00B82B4A"/>
    <w:rsid w:val="00BA6974"/>
    <w:rsid w:val="00BA7719"/>
    <w:rsid w:val="00BB1965"/>
    <w:rsid w:val="00BB3137"/>
    <w:rsid w:val="00BC0351"/>
    <w:rsid w:val="00BC2C1C"/>
    <w:rsid w:val="00BD144A"/>
    <w:rsid w:val="00BF07FB"/>
    <w:rsid w:val="00C11EF6"/>
    <w:rsid w:val="00C31C5B"/>
    <w:rsid w:val="00C4208E"/>
    <w:rsid w:val="00C509F9"/>
    <w:rsid w:val="00C53F58"/>
    <w:rsid w:val="00C76A23"/>
    <w:rsid w:val="00C82249"/>
    <w:rsid w:val="00C85A5E"/>
    <w:rsid w:val="00C951F8"/>
    <w:rsid w:val="00CB77D3"/>
    <w:rsid w:val="00CC058A"/>
    <w:rsid w:val="00CC327F"/>
    <w:rsid w:val="00CD03BA"/>
    <w:rsid w:val="00CE5478"/>
    <w:rsid w:val="00D06216"/>
    <w:rsid w:val="00D14670"/>
    <w:rsid w:val="00D16EFC"/>
    <w:rsid w:val="00D23E97"/>
    <w:rsid w:val="00D333A5"/>
    <w:rsid w:val="00D33494"/>
    <w:rsid w:val="00D72DD9"/>
    <w:rsid w:val="00D92B3F"/>
    <w:rsid w:val="00DC0839"/>
    <w:rsid w:val="00DD6731"/>
    <w:rsid w:val="00DE3D1F"/>
    <w:rsid w:val="00E104E8"/>
    <w:rsid w:val="00E26745"/>
    <w:rsid w:val="00E41DC7"/>
    <w:rsid w:val="00E74922"/>
    <w:rsid w:val="00E82F48"/>
    <w:rsid w:val="00E84ACF"/>
    <w:rsid w:val="00E92116"/>
    <w:rsid w:val="00E978AF"/>
    <w:rsid w:val="00EA727F"/>
    <w:rsid w:val="00EC06F5"/>
    <w:rsid w:val="00EE7DB2"/>
    <w:rsid w:val="00EF1214"/>
    <w:rsid w:val="00EF274F"/>
    <w:rsid w:val="00F12916"/>
    <w:rsid w:val="00F22D75"/>
    <w:rsid w:val="00F549F4"/>
    <w:rsid w:val="00F551A8"/>
    <w:rsid w:val="00F73959"/>
    <w:rsid w:val="00F83F4B"/>
    <w:rsid w:val="00F848D7"/>
    <w:rsid w:val="00FB07F7"/>
    <w:rsid w:val="00FE0488"/>
    <w:rsid w:val="00FE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9"/>
    <w:pPr>
      <w:spacing w:before="120" w:line="276" w:lineRule="auto"/>
      <w:ind w:firstLine="709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C9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597A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97ACC"/>
    <w:rPr>
      <w:rFonts w:ascii="Arial" w:hAnsi="Arial"/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597ACC"/>
    <w:rPr>
      <w:b/>
      <w:bCs/>
    </w:rPr>
  </w:style>
  <w:style w:type="paragraph" w:styleId="a5">
    <w:name w:val="No Spacing"/>
    <w:uiPriority w:val="1"/>
    <w:qFormat/>
    <w:rsid w:val="00597ACC"/>
    <w:pPr>
      <w:spacing w:before="120" w:after="120" w:line="240" w:lineRule="auto"/>
      <w:jc w:val="center"/>
    </w:pPr>
    <w:rPr>
      <w:rFonts w:ascii="Arial" w:hAnsi="Arial"/>
    </w:rPr>
  </w:style>
  <w:style w:type="paragraph" w:styleId="a6">
    <w:name w:val="endnote text"/>
    <w:basedOn w:val="a"/>
    <w:link w:val="a7"/>
    <w:uiPriority w:val="99"/>
    <w:semiHidden/>
    <w:unhideWhenUsed/>
    <w:rsid w:val="00431B13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31B13"/>
    <w:rPr>
      <w:rFonts w:ascii="Arial" w:hAnsi="Arial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31B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85B6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B6F"/>
    <w:rPr>
      <w:rFonts w:ascii="Arial" w:hAnsi="Arial"/>
    </w:rPr>
  </w:style>
  <w:style w:type="paragraph" w:styleId="ab">
    <w:name w:val="footer"/>
    <w:basedOn w:val="a"/>
    <w:link w:val="ac"/>
    <w:uiPriority w:val="99"/>
    <w:unhideWhenUsed/>
    <w:rsid w:val="00685B6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B6F"/>
    <w:rPr>
      <w:rFonts w:ascii="Arial" w:hAnsi="Arial"/>
    </w:rPr>
  </w:style>
  <w:style w:type="paragraph" w:styleId="ad">
    <w:name w:val="footnote text"/>
    <w:basedOn w:val="a"/>
    <w:link w:val="ae"/>
    <w:uiPriority w:val="99"/>
    <w:semiHidden/>
    <w:unhideWhenUsed/>
    <w:rsid w:val="00D92B3F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92B3F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92B3F"/>
    <w:rPr>
      <w:vertAlign w:val="superscript"/>
    </w:rPr>
  </w:style>
  <w:style w:type="character" w:customStyle="1" w:styleId="card-text">
    <w:name w:val="card-text"/>
    <w:rsid w:val="0027509D"/>
  </w:style>
  <w:style w:type="character" w:styleId="af0">
    <w:name w:val="Hyperlink"/>
    <w:basedOn w:val="a0"/>
    <w:uiPriority w:val="99"/>
    <w:unhideWhenUsed/>
    <w:rsid w:val="007A70A3"/>
    <w:rPr>
      <w:color w:val="0563C1" w:themeColor="hyperlink"/>
      <w:u w:val="single"/>
    </w:rPr>
  </w:style>
  <w:style w:type="paragraph" w:customStyle="1" w:styleId="af1">
    <w:name w:val="Абзац"/>
    <w:basedOn w:val="a"/>
    <w:link w:val="af2"/>
    <w:rsid w:val="005C2E1A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Знак"/>
    <w:link w:val="af1"/>
    <w:locked/>
    <w:rsid w:val="005C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834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3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104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59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24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98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65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997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66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76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948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15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47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01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19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704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58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96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373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67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18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17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8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65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75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65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10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17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745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74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063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987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537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993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16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26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27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26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19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5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7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18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095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50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8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24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6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52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Uwz2qRSf3jX2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10@fintech.ru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hyperlink" Target="http://support.fintech.ru/tabid/242/Default.aspx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s10@fintech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9AB7-ADDB-4E27-87E2-E469305F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873</Words>
  <Characters>4979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PCUBVV</dc:creator>
  <cp:lastModifiedBy>Татьяна</cp:lastModifiedBy>
  <cp:revision>2</cp:revision>
  <dcterms:created xsi:type="dcterms:W3CDTF">2025-02-04T06:58:00Z</dcterms:created>
  <dcterms:modified xsi:type="dcterms:W3CDTF">2025-02-04T06:58:00Z</dcterms:modified>
</cp:coreProperties>
</file>