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bookmarkStart w:id="0" w:name="_Toc272231505"/>
      <w:r/>
      <w:bookmarkStart w:id="1" w:name="_GoBack"/>
      <w:r/>
      <w:bookmarkEnd w:id="1"/>
      <w:r>
        <w:rPr>
          <w:rFonts w:ascii="PT Astra Serif" w:hAnsi="PT Astra Serif"/>
        </w:rPr>
        <w:t xml:space="preserve">Для входа в Корпоративную информационную систему пользователь переходит на страницу авторизации в </w:t>
      </w:r>
      <w:r>
        <w:rPr>
          <w:rFonts w:ascii="PT Astra Serif" w:hAnsi="PT Astra Serif"/>
        </w:rPr>
        <w:t xml:space="preserve">Корпоративной информационной системе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по ссылке: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</w:r>
      <w:hyperlink r:id="rId10" w:tooltip="https://depfin70.ru/webtorgi_223/&#10;Ctrl+ щелчок или касание: перейти по ссылке" w:history="1">
        <w:r>
          <w:rPr>
            <w:rStyle w:val="706"/>
            <w:rFonts w:ascii="Calibri" w:hAnsi="Calibri" w:eastAsia="Calibri" w:cs="Calibri"/>
            <w:color w:val="0000ff"/>
            <w:sz w:val="24"/>
            <w:u w:val="single"/>
          </w:rPr>
          <w:t xml:space="preserve">https://depfin70.ru/webtorgi_223/</w:t>
        </w:r>
      </w:hyperlink>
      <w:r>
        <w:rPr>
          <w:rFonts w:ascii="Calibri" w:hAnsi="Calibri" w:eastAsia="Calibri" w:cs="Calibri"/>
          <w:color w:val="000000"/>
          <w:sz w:val="24"/>
        </w:rPr>
        <w:t xml:space="preserve">​ </w:t>
      </w:r>
      <w:r/>
      <w:r>
        <w:rPr>
          <w:rFonts w:ascii="PT Astra Serif" w:hAnsi="PT Astra Serif"/>
        </w:rPr>
      </w:r>
      <w:r/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i/>
        </w:rPr>
        <w:t xml:space="preserve">(Рисунок 1</w:t>
      </w:r>
      <w:r>
        <w:rPr>
          <w:rFonts w:ascii="PT Astra Serif" w:hAnsi="PT Astra Serif"/>
          <w:i/>
        </w:rPr>
        <w:t xml:space="preserve">)</w:t>
      </w:r>
      <w:r>
        <w:rPr>
          <w:rFonts w:ascii="PT Astra Serif" w:hAnsi="PT Astra Serif"/>
        </w:rPr>
      </w:r>
      <w:r/>
      <w:r>
        <w:rPr>
          <w:sz w:val="24"/>
        </w:rPr>
      </w:r>
    </w:p>
    <w:p>
      <w:pPr>
        <w:pStyle w:val="692"/>
        <w:spacing w:after="1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89883" cy="2330420"/>
                <wp:effectExtent l="0" t="0" r="571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0" b="7620"/>
                        <a:stretch/>
                      </pic:blipFill>
                      <pic:spPr bwMode="auto">
                        <a:xfrm>
                          <a:off x="0" y="0"/>
                          <a:ext cx="2522383" cy="23608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6.05pt;height:183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hAnsi="PT Astra Serif"/>
          <w:sz w:val="24"/>
          <w:szCs w:val="24"/>
        </w:rPr>
      </w:r>
    </w:p>
    <w:p>
      <w:pPr>
        <w:pStyle w:val="689"/>
        <w:numPr>
          <w:ilvl w:val="0"/>
          <w:numId w:val="0"/>
        </w:numPr>
        <w:spacing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Рисунок 1. Авторизация в КИС</w:t>
      </w:r>
      <w:r>
        <w:rPr>
          <w:rFonts w:ascii="PT Astra Serif" w:hAnsi="PT Astra Serif"/>
          <w:sz w:val="24"/>
          <w:szCs w:val="24"/>
        </w:rPr>
      </w:r>
    </w:p>
    <w:p>
      <w:pPr>
        <w:pStyle w:val="690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ind w:firstLine="709"/>
        <w:rPr>
          <w:rFonts w:ascii="PT Astra Serif" w:hAnsi="PT Astra Serif"/>
          <w:i/>
        </w:rPr>
      </w:pPr>
      <w:r>
        <w:rPr>
          <w:rFonts w:ascii="PT Astra Serif" w:hAnsi="PT Astra Serif"/>
        </w:rPr>
        <w:t xml:space="preserve">После ввода учетных данных пользователя предоставляется доступ 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 xml:space="preserve">к автоматизированному рабочему месту (АРМ) Заказчика </w:t>
      </w:r>
      <w:r>
        <w:rPr>
          <w:rFonts w:ascii="PT Astra Serif" w:hAnsi="PT Astra Serif"/>
          <w:i/>
        </w:rPr>
        <w:t xml:space="preserve">(Рисунок 2)</w:t>
      </w:r>
      <w:r>
        <w:rPr>
          <w:rFonts w:ascii="PT Astra Serif" w:hAnsi="PT Astra Serif"/>
          <w:i/>
        </w:rPr>
      </w:r>
    </w:p>
    <w:p>
      <w:pPr>
        <w:ind w:firstLine="709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</w:r>
      <w:r>
        <w:rPr>
          <w:rFonts w:ascii="PT Astra Serif" w:hAnsi="PT Astra Serif"/>
          <w:i/>
        </w:rPr>
      </w:r>
    </w:p>
    <w:p>
      <w:pPr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12025" cy="5229520"/>
                <wp:effectExtent l="0" t="0" r="0" b="9525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119017" cy="5236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2.52pt;height:411.7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PT Astra Serif" w:hAnsi="PT Astra Serif"/>
          <w:sz w:val="26"/>
          <w:szCs w:val="26"/>
        </w:rPr>
      </w:r>
    </w:p>
    <w:p>
      <w:pPr>
        <w:pStyle w:val="689"/>
        <w:numPr>
          <w:ilvl w:val="0"/>
          <w:numId w:val="0"/>
        </w:numPr>
        <w:spacing w:before="120" w:after="12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Рисунок 2. АРМ Заказчика</w:t>
      </w:r>
      <w:r>
        <w:rPr>
          <w:rFonts w:ascii="PT Astra Serif" w:hAnsi="PT Astra Serif"/>
          <w:sz w:val="22"/>
          <w:szCs w:val="22"/>
        </w:rPr>
      </w:r>
    </w:p>
    <w:p>
      <w:pPr>
        <w:pStyle w:val="693"/>
        <w:ind w:left="720"/>
        <w:jc w:val="center"/>
        <w:spacing w:before="0" w:after="0"/>
        <w:rPr>
          <w:rFonts w:ascii="PT Astra Serif" w:hAnsi="PT Astra Serif" w:cs="Times New Roman"/>
          <w:iCs w:val="0"/>
          <w:sz w:val="24"/>
          <w:szCs w:val="24"/>
        </w:rPr>
        <w:outlineLvl w:val="9"/>
      </w:pPr>
      <w:r/>
      <w:bookmarkStart w:id="2" w:name="_Toc520184231"/>
      <w:r/>
      <w:bookmarkStart w:id="3" w:name="_Toc520184311"/>
      <w:r/>
      <w:bookmarkStart w:id="4" w:name="_Toc520905950"/>
      <w:r/>
      <w:bookmarkStart w:id="5" w:name="_Toc520905990"/>
      <w:r/>
      <w:bookmarkStart w:id="6" w:name="_Toc520970297"/>
      <w:r/>
      <w:bookmarkStart w:id="7" w:name="_Toc521573581"/>
      <w:r/>
      <w:bookmarkStart w:id="8" w:name="_Toc521680252"/>
      <w:r/>
      <w:bookmarkStart w:id="9" w:name="_Toc521681019"/>
      <w:r/>
      <w:bookmarkStart w:id="10" w:name="_Toc523124999"/>
      <w:r/>
      <w:bookmarkStart w:id="11" w:name="_Toc523125107"/>
      <w:r/>
      <w:bookmarkStart w:id="12" w:name="_Toc525541605"/>
      <w:r/>
      <w:bookmarkStart w:id="13" w:name="_Toc525541658"/>
      <w:r/>
      <w:bookmarkStart w:id="14" w:name="_Toc525801175"/>
      <w:r/>
      <w:bookmarkStart w:id="15" w:name="_Toc527492600"/>
      <w:r/>
      <w:bookmarkStart w:id="16" w:name="_Toc528143438"/>
      <w:r/>
      <w:bookmarkStart w:id="17" w:name="_Toc528573383"/>
      <w:r/>
      <w:bookmarkStart w:id="18" w:name="_Toc528752921"/>
      <w:r/>
      <w:bookmarkStart w:id="19" w:name="_Toc528936848"/>
      <w:r/>
      <w:bookmarkStart w:id="20" w:name="_Toc528936910"/>
      <w:r/>
      <w:bookmarkStart w:id="21" w:name="_Toc528940623"/>
      <w:r/>
      <w:bookmarkStart w:id="22" w:name="_Toc528940678"/>
      <w:r/>
      <w:bookmarkStart w:id="23" w:name="_Toc529124899"/>
      <w:r/>
      <w:bookmarkStart w:id="24" w:name="_Toc529125018"/>
      <w:r/>
      <w:bookmarkStart w:id="25" w:name="_Toc529128996"/>
      <w:r/>
      <w:bookmarkStart w:id="26" w:name="_Toc529539972"/>
      <w:r/>
      <w:bookmarkStart w:id="27" w:name="_Toc529773834"/>
      <w:r/>
      <w:bookmarkStart w:id="28" w:name="_Toc529954511"/>
      <w:r/>
      <w:bookmarkStart w:id="29" w:name="_Toc529954574"/>
      <w:r/>
      <w:bookmarkStart w:id="30" w:name="_Toc530379613"/>
      <w:r/>
      <w:bookmarkStart w:id="31" w:name="_Toc530501403"/>
      <w:r/>
      <w:bookmarkStart w:id="32" w:name="_Toc530654063"/>
      <w:r/>
      <w:bookmarkStart w:id="33" w:name="_Toc530660055"/>
      <w:r/>
      <w:bookmarkStart w:id="34" w:name="_Toc530660239"/>
      <w:r/>
      <w:bookmarkStart w:id="35" w:name="_Toc530663799"/>
      <w:r/>
      <w:bookmarkStart w:id="36" w:name="_Toc530663848"/>
      <w:r/>
      <w:bookmarkStart w:id="37" w:name="_Toc530663895"/>
      <w:r/>
      <w:bookmarkStart w:id="38" w:name="_Toc530663940"/>
      <w:r/>
      <w:bookmarkStart w:id="39" w:name="_Toc530666969"/>
      <w:r/>
      <w:bookmarkStart w:id="40" w:name="_Toc530670415"/>
      <w:r/>
      <w:bookmarkStart w:id="41" w:name="_Toc530671327"/>
      <w:r/>
      <w:bookmarkStart w:id="42" w:name="_Toc530734581"/>
      <w:r/>
      <w:bookmarkStart w:id="43" w:name="_Toc530735941"/>
      <w:r/>
      <w:bookmarkStart w:id="44" w:name="_Toc530918653"/>
      <w:r/>
      <w:bookmarkStart w:id="45" w:name="_Toc530923364"/>
      <w:r/>
      <w:bookmarkStart w:id="46" w:name="_Toc530929020"/>
      <w:r/>
      <w:bookmarkStart w:id="47" w:name="_Toc530931260"/>
      <w:r/>
      <w:bookmarkStart w:id="48" w:name="_Toc530931947"/>
      <w:r/>
      <w:bookmarkStart w:id="49" w:name="_Toc530932803"/>
      <w:r/>
      <w:bookmarkStart w:id="50" w:name="_Toc530938472"/>
      <w:r/>
      <w:bookmarkStart w:id="51" w:name="_Toc530982998"/>
      <w:r/>
      <w:bookmarkStart w:id="52" w:name="_Toc530983445"/>
      <w:r/>
      <w:bookmarkStart w:id="53" w:name="_Toc530984083"/>
      <w:r/>
      <w:bookmarkStart w:id="54" w:name="_Toc531250735"/>
      <w:r/>
      <w:bookmarkStart w:id="55" w:name="_Toc531250783"/>
      <w:r/>
      <w:bookmarkStart w:id="56" w:name="_Toc531286457"/>
      <w:r/>
      <w:bookmarkStart w:id="57" w:name="_Toc531377741"/>
      <w:r/>
      <w:bookmarkStart w:id="58" w:name="_Toc531588524"/>
      <w:r/>
      <w:bookmarkStart w:id="59" w:name="_Toc531588631"/>
      <w:r/>
      <w:bookmarkStart w:id="60" w:name="_Toc531588694"/>
      <w:r/>
      <w:bookmarkStart w:id="61" w:name="_Toc531588769"/>
      <w:r/>
      <w:bookmarkStart w:id="62" w:name="_Toc531589018"/>
      <w:r/>
      <w:bookmarkStart w:id="63" w:name="_Toc531611453"/>
      <w:r/>
      <w:bookmarkStart w:id="64" w:name="_Toc531719481"/>
      <w:r/>
      <w:bookmarkStart w:id="65" w:name="_Toc531723822"/>
      <w:r/>
      <w:bookmarkStart w:id="66" w:name="_Toc531724060"/>
      <w:r/>
      <w:bookmarkStart w:id="67" w:name="_Toc531724233"/>
      <w:r/>
      <w:bookmarkStart w:id="68" w:name="_Toc531724282"/>
      <w:r/>
      <w:bookmarkStart w:id="69" w:name="_Toc531724331"/>
      <w:r/>
      <w:bookmarkStart w:id="70" w:name="_Toc531724381"/>
      <w:r/>
      <w:bookmarkStart w:id="71" w:name="_Toc531724718"/>
      <w:r/>
      <w:bookmarkStart w:id="72" w:name="_Toc531725147"/>
      <w:r/>
      <w:bookmarkStart w:id="73" w:name="_Toc531725237"/>
      <w:r/>
      <w:bookmarkStart w:id="74" w:name="_Toc531725468"/>
      <w:r/>
      <w:bookmarkStart w:id="75" w:name="_Toc531725544"/>
      <w:r/>
      <w:bookmarkStart w:id="76" w:name="_Toc531850427"/>
      <w:r/>
      <w:bookmarkStart w:id="77" w:name="_Toc531950001"/>
      <w:r/>
      <w:bookmarkStart w:id="78" w:name="_Toc531954316"/>
      <w:r/>
      <w:bookmarkStart w:id="79" w:name="_Toc531954366"/>
      <w:r/>
      <w:bookmarkStart w:id="80" w:name="_Toc531954417"/>
      <w:r/>
      <w:bookmarkStart w:id="81" w:name="_Toc531954467"/>
      <w:r/>
      <w:bookmarkStart w:id="82" w:name="_Toc532195663"/>
      <w:r/>
      <w:bookmarkStart w:id="83" w:name="_Toc532375214"/>
      <w:r/>
      <w:bookmarkStart w:id="84" w:name="_Toc532375412"/>
      <w:r/>
      <w:bookmarkStart w:id="85" w:name="_Toc532481788"/>
      <w:r/>
      <w:bookmarkStart w:id="86" w:name="_Toc532481842"/>
      <w:r/>
      <w:bookmarkStart w:id="87" w:name="_Toc532559398"/>
      <w:r/>
      <w:bookmarkStart w:id="88" w:name="_Toc15550991"/>
      <w:r/>
      <w:bookmarkStart w:id="89" w:name="_Toc32847684"/>
      <w:r/>
      <w:bookmarkStart w:id="90" w:name="_Toc326070874"/>
      <w:r/>
      <w:bookmarkStart w:id="91" w:name="_Toc326075815"/>
      <w:r/>
      <w:bookmarkStart w:id="92" w:name="_Toc326822819"/>
      <w:r/>
      <w:bookmarkEnd w:id="0"/>
      <w:r/>
      <w:bookmarkEnd w:id="2"/>
      <w:r/>
      <w:bookmarkEnd w:id="3"/>
      <w:r/>
      <w:bookmarkEnd w:id="4"/>
      <w:r/>
      <w:bookmarkEnd w:id="5"/>
      <w:r/>
      <w:bookmarkEnd w:id="6"/>
      <w:r/>
      <w:bookmarkEnd w:id="7"/>
      <w:r/>
      <w:bookmarkEnd w:id="8"/>
      <w:r/>
      <w:bookmarkEnd w:id="9"/>
      <w:r/>
      <w:bookmarkEnd w:id="10"/>
      <w:r/>
      <w:bookmarkEnd w:id="11"/>
      <w:r/>
      <w:bookmarkEnd w:id="12"/>
      <w:r/>
      <w:bookmarkEnd w:id="13"/>
      <w:r/>
      <w:bookmarkEnd w:id="14"/>
      <w:r/>
      <w:bookmarkEnd w:id="15"/>
      <w:r/>
      <w:bookmarkEnd w:id="16"/>
      <w:r/>
      <w:bookmarkEnd w:id="17"/>
      <w:r/>
      <w:bookmarkEnd w:id="18"/>
      <w:r/>
      <w:bookmarkEnd w:id="19"/>
      <w:r/>
      <w:bookmarkEnd w:id="20"/>
      <w:r/>
      <w:bookmarkEnd w:id="21"/>
      <w:r/>
      <w:bookmarkEnd w:id="22"/>
      <w:r/>
      <w:bookmarkEnd w:id="23"/>
      <w:r/>
      <w:bookmarkEnd w:id="24"/>
      <w:r/>
      <w:bookmarkEnd w:id="25"/>
      <w:r/>
      <w:bookmarkEnd w:id="26"/>
      <w:r/>
      <w:bookmarkEnd w:id="27"/>
      <w:r/>
      <w:bookmarkEnd w:id="28"/>
      <w:r/>
      <w:bookmarkEnd w:id="29"/>
      <w:r/>
      <w:bookmarkEnd w:id="30"/>
      <w:r/>
      <w:bookmarkEnd w:id="31"/>
      <w:r/>
      <w:bookmarkEnd w:id="32"/>
      <w:r/>
      <w:bookmarkEnd w:id="33"/>
      <w:r/>
      <w:bookmarkEnd w:id="34"/>
      <w:r/>
      <w:bookmarkEnd w:id="35"/>
      <w:r/>
      <w:bookmarkEnd w:id="36"/>
      <w:r/>
      <w:bookmarkEnd w:id="37"/>
      <w:r/>
      <w:bookmarkEnd w:id="38"/>
      <w:r/>
      <w:bookmarkEnd w:id="39"/>
      <w:r/>
      <w:bookmarkEnd w:id="40"/>
      <w:r/>
      <w:bookmarkEnd w:id="41"/>
      <w:r/>
      <w:bookmarkEnd w:id="42"/>
      <w:r/>
      <w:bookmarkEnd w:id="43"/>
      <w:r/>
      <w:bookmarkEnd w:id="44"/>
      <w:r/>
      <w:bookmarkEnd w:id="45"/>
      <w:r/>
      <w:bookmarkEnd w:id="46"/>
      <w:r/>
      <w:bookmarkEnd w:id="47"/>
      <w:r/>
      <w:bookmarkEnd w:id="48"/>
      <w:r/>
      <w:bookmarkEnd w:id="49"/>
      <w:r/>
      <w:bookmarkEnd w:id="50"/>
      <w:r/>
      <w:bookmarkEnd w:id="51"/>
      <w:r/>
      <w:bookmarkEnd w:id="52"/>
      <w:r/>
      <w:bookmarkEnd w:id="53"/>
      <w:r/>
      <w:bookmarkEnd w:id="54"/>
      <w:r/>
      <w:bookmarkEnd w:id="55"/>
      <w:r/>
      <w:bookmarkEnd w:id="56"/>
      <w:r/>
      <w:bookmarkEnd w:id="57"/>
      <w:r/>
      <w:bookmarkEnd w:id="58"/>
      <w:r/>
      <w:bookmarkEnd w:id="59"/>
      <w:r/>
      <w:bookmarkEnd w:id="60"/>
      <w:r/>
      <w:bookmarkEnd w:id="61"/>
      <w:r/>
      <w:bookmarkEnd w:id="62"/>
      <w:r/>
      <w:bookmarkEnd w:id="63"/>
      <w:r/>
      <w:bookmarkEnd w:id="64"/>
      <w:r/>
      <w:bookmarkEnd w:id="65"/>
      <w:r/>
      <w:bookmarkEnd w:id="66"/>
      <w:r/>
      <w:bookmarkEnd w:id="67"/>
      <w:r/>
      <w:bookmarkEnd w:id="68"/>
      <w:r/>
      <w:bookmarkEnd w:id="69"/>
      <w:r/>
      <w:bookmarkEnd w:id="70"/>
      <w:r/>
      <w:bookmarkEnd w:id="71"/>
      <w:r/>
      <w:bookmarkEnd w:id="72"/>
      <w:r/>
      <w:bookmarkEnd w:id="73"/>
      <w:r/>
      <w:bookmarkEnd w:id="74"/>
      <w:r/>
      <w:bookmarkEnd w:id="75"/>
      <w:r/>
      <w:bookmarkEnd w:id="76"/>
      <w:r/>
      <w:bookmarkEnd w:id="77"/>
      <w:r/>
      <w:bookmarkEnd w:id="78"/>
      <w:r/>
      <w:bookmarkEnd w:id="79"/>
      <w:r/>
      <w:bookmarkEnd w:id="80"/>
      <w:r/>
      <w:bookmarkEnd w:id="81"/>
      <w:r/>
      <w:bookmarkEnd w:id="82"/>
      <w:r/>
      <w:bookmarkEnd w:id="83"/>
      <w:r/>
      <w:bookmarkEnd w:id="84"/>
      <w:r/>
      <w:bookmarkEnd w:id="85"/>
      <w:r/>
      <w:bookmarkEnd w:id="86"/>
      <w:r/>
      <w:bookmarkEnd w:id="87"/>
      <w:r>
        <w:rPr>
          <w:rFonts w:ascii="PT Astra Serif" w:hAnsi="PT Astra Serif" w:cs="Times New Roman"/>
          <w:iCs w:val="0"/>
          <w:sz w:val="24"/>
          <w:szCs w:val="24"/>
        </w:rPr>
        <w:t xml:space="preserve">Основные настройки </w:t>
      </w:r>
      <w:bookmarkStart w:id="93" w:name="_Ref419712739"/>
      <w:r/>
      <w:bookmarkStart w:id="94" w:name="_Toc15550992"/>
      <w:r/>
      <w:bookmarkStart w:id="95" w:name="_Toc32847685"/>
      <w:r/>
      <w:bookmarkEnd w:id="88"/>
      <w:r/>
      <w:bookmarkEnd w:id="89"/>
      <w:r>
        <w:rPr>
          <w:rFonts w:ascii="PT Astra Serif" w:hAnsi="PT Astra Serif" w:cs="Times New Roman"/>
          <w:iCs w:val="0"/>
          <w:sz w:val="24"/>
          <w:szCs w:val="24"/>
        </w:rPr>
        <w:t xml:space="preserve">Корпоративной информационной системы</w:t>
      </w:r>
      <w:r>
        <w:rPr>
          <w:rFonts w:ascii="PT Astra Serif" w:hAnsi="PT Astra Serif" w:cs="Times New Roman"/>
          <w:iCs w:val="0"/>
          <w:sz w:val="24"/>
          <w:szCs w:val="24"/>
        </w:rPr>
      </w:r>
    </w:p>
    <w:p>
      <w:pPr>
        <w:pStyle w:val="690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Пользователю </w:t>
      </w:r>
      <w:r>
        <w:rPr>
          <w:rFonts w:ascii="PT Astra Serif" w:hAnsi="PT Astra Serif"/>
        </w:rPr>
        <w:t xml:space="preserve">Корп</w:t>
      </w:r>
      <w:r>
        <w:rPr>
          <w:rFonts w:ascii="PT Astra Serif" w:hAnsi="PT Astra Serif"/>
        </w:rPr>
        <w:t xml:space="preserve">оративной информационной системе</w:t>
      </w:r>
      <w:r>
        <w:rPr>
          <w:rFonts w:ascii="PT Astra Serif" w:hAnsi="PT Astra Serif"/>
        </w:rPr>
        <w:t xml:space="preserve"> доступна установка основных настроек</w:t>
      </w:r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Для перехода к инструкциям по установке начальных настроек пользователю необходимо кликнуть</w:t>
      </w:r>
      <w:r>
        <w:rPr>
          <w:rFonts w:ascii="PT Astra Serif" w:hAnsi="PT Astra Serif"/>
        </w:rPr>
        <w:t xml:space="preserve"> по кнопке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bCs/>
        </w:rPr>
        <w:t xml:space="preserve">«Меню»</w:t>
      </w:r>
      <w:r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</w:rPr>
        <w:t xml:space="preserve">в левом верхнем углу</w:t>
      </w:r>
      <w:r>
        <w:rPr>
          <w:rFonts w:ascii="PT Astra Serif" w:hAnsi="PT Astra Serif"/>
        </w:rPr>
        <w:t xml:space="preserve"> АРМ Заказчика</w:t>
      </w:r>
      <w:r>
        <w:rPr>
          <w:rFonts w:ascii="PT Astra Serif" w:hAnsi="PT Astra Serif"/>
          <w:bCs/>
        </w:rPr>
        <w:t xml:space="preserve">, </w:t>
      </w:r>
      <w:r>
        <w:rPr>
          <w:rFonts w:ascii="PT Astra Serif" w:hAnsi="PT Astra Serif"/>
        </w:rPr>
      </w:r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446716</wp:posOffset>
                </wp:positionV>
                <wp:extent cx="600250" cy="196343"/>
                <wp:effectExtent l="0" t="0" r="28575" b="13335"/>
                <wp:wrapNone/>
                <wp:docPr id="3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0250" cy="1963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margin;mso-position-horizontal:left;mso-position-vertical-relative:text;margin-top:35.17pt;mso-position-vertical:absolute;width:47.26pt;height:15.46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4204" cy="1958992"/>
                <wp:effectExtent l="0" t="0" r="0" b="317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-189" t="7646" r="188" b="35595"/>
                        <a:stretch/>
                      </pic:blipFill>
                      <pic:spPr bwMode="auto">
                        <a:xfrm>
                          <a:off x="0" y="0"/>
                          <a:ext cx="5396645" cy="19671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23.17pt;height:154.2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</w:p>
    <w:p>
      <w:pPr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затем</w:t>
      </w:r>
      <w:r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</w:rPr>
        <w:t xml:space="preserve">выбрать вкладку «Справка и поддержка»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раздел</w:t>
      </w:r>
      <w:r>
        <w:rPr>
          <w:rFonts w:ascii="PT Astra Serif" w:hAnsi="PT Astra Serif"/>
        </w:rPr>
        <w:t xml:space="preserve"> «Руководство пользователя»</w:t>
      </w:r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</w:r>
    </w:p>
    <w:p>
      <w:pPr>
        <w:pStyle w:val="690"/>
        <w:ind w:firstLine="0"/>
        <w:rPr>
          <w:rFonts w:ascii="PT Astra Serif" w:hAnsi="PT Astra Serif"/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1742857</wp:posOffset>
                </wp:positionH>
                <wp:positionV relativeFrom="paragraph">
                  <wp:posOffset>734268</wp:posOffset>
                </wp:positionV>
                <wp:extent cx="1030406" cy="196343"/>
                <wp:effectExtent l="0" t="0" r="17780" b="133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30406" cy="1963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661312;o:allowoverlap:true;o:allowincell:true;mso-position-horizontal-relative:margin;margin-left:137.23pt;mso-position-horizontal:absolute;mso-position-vertical-relative:text;margin-top:57.82pt;mso-position-vertical:absolute;width:81.13pt;height:15.46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71900" cy="2145408"/>
                <wp:effectExtent l="0" t="0" r="0" b="7620"/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819946" cy="2172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97.00pt;height:168.9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Раздел 2.1. «Подготовка к работе»</w:t>
      </w:r>
      <w:r>
        <w:rPr>
          <w:rFonts w:ascii="PT Astra Serif" w:hAnsi="PT Astra Serif"/>
          <w:bCs/>
        </w:rPr>
      </w:r>
    </w:p>
    <w:p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</w:p>
    <w:p>
      <w:pPr>
        <w:pStyle w:val="690"/>
        <w:ind w:firstLine="0"/>
        <w:rPr>
          <w:rFonts w:ascii="PT Astra Serif" w:hAnsi="PT Astra Serif"/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1253490</wp:posOffset>
                </wp:positionV>
                <wp:extent cx="1125940" cy="196343"/>
                <wp:effectExtent l="0" t="0" r="17145" b="13335"/>
                <wp:wrapNone/>
                <wp:docPr id="7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25940" cy="1963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63360;o:allowoverlap:true;o:allowincell:true;mso-position-horizontal-relative:margin;mso-position-horizontal:left;mso-position-vertical-relative:text;margin-top:98.70pt;mso-position-vertical:absolute;width:88.66pt;height:15.46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rFonts w:ascii="PT Astra Serif" w:hAnsi="PT Astra Serif"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1505" cy="3058160"/>
                <wp:effectExtent l="0" t="0" r="8255" b="889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0" r="53641" b="0"/>
                        <a:stretch/>
                      </pic:blipFill>
                      <pic:spPr bwMode="auto">
                        <a:xfrm>
                          <a:off x="0" y="0"/>
                          <a:ext cx="1808818" cy="3070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41.85pt;height:240.8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bookmarkEnd w:id="90"/>
      <w:bookmarkEnd w:id="91"/>
      <w:bookmarkEnd w:id="92"/>
      <w:bookmarkEnd w:id="93"/>
      <w:bookmarkEnd w:id="94"/>
      <w:bookmarkEnd w:id="95"/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Подраздел 2.2. «Основные настройки системы» раздела 3.2. «Описание операций»</w:t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9999</wp:posOffset>
                </wp:positionH>
                <wp:positionV relativeFrom="paragraph">
                  <wp:posOffset>854255</wp:posOffset>
                </wp:positionV>
                <wp:extent cx="1030406" cy="196343"/>
                <wp:effectExtent l="0" t="0" r="17780" b="13335"/>
                <wp:wrapNone/>
                <wp:docPr id="9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30406" cy="1963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665408;o:allowoverlap:true;o:allowincell:true;mso-position-horizontal-relative:margin;margin-left:0.79pt;mso-position-horizontal:absolute;mso-position-vertical-relative:text;margin-top:67.26pt;mso-position-vertical:absolute;width:81.13pt;height:15.46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rFonts w:ascii="PT Astra Serif" w:hAnsi="PT Astra Serif"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78675" cy="3038389"/>
                <wp:effectExtent l="0" t="0" r="0" b="0"/>
                <wp:docPr id="10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0" t="0" r="59380" b="0"/>
                        <a:stretch/>
                      </pic:blipFill>
                      <pic:spPr bwMode="auto">
                        <a:xfrm>
                          <a:off x="0" y="0"/>
                          <a:ext cx="1684634" cy="30491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32.18pt;height:239.24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PT Astra Serif" w:hAnsi="PT Astra Serif"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nsolas">
    <w:panose1 w:val="020B0609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65156266"/>
      <w:docPartObj>
        <w:docPartGallery w:val="Page Numbers (Top of Page)"/>
        <w:docPartUnique w:val="true"/>
      </w:docPartObj>
      <w:rPr/>
    </w:sdtPr>
    <w:sdtContent>
      <w:p>
        <w:pPr>
          <w:pStyle w:val="70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7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89"/>
      <w:isLgl w:val="false"/>
      <w:suff w:val="tab"/>
      <w:lvlText w:val="Рисунок"/>
      <w:lvlJc w:val="left"/>
      <w:pPr>
        <w:tabs>
          <w:tab w:val="num" w:pos="1929" w:leader="none"/>
        </w:tabs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59" w:hanging="539"/>
        <w:tabs>
          <w:tab w:val="num" w:pos="1259" w:leader="none"/>
        </w:tabs>
      </w:pPr>
      <w:rPr>
        <w:rFonts w:hint="default"/>
        <w:color w:val="ff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97" w:hanging="1077"/>
        <w:tabs>
          <w:tab w:val="num" w:pos="1797" w:leader="none"/>
        </w:tabs>
      </w:pPr>
      <w:rPr>
        <w:rFonts w:hint="default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79" w:hanging="1259"/>
        <w:tabs>
          <w:tab w:val="num" w:pos="1979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56" w:hanging="936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  <w:tabs>
          <w:tab w:val="num" w:pos="57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64" w:hanging="1224"/>
        <w:tabs>
          <w:tab w:val="num" w:pos="648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  <w:tabs>
          <w:tab w:val="num" w:pos="7200" w:leader="none"/>
        </w:tabs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6"/>
    <w:link w:val="68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6"/>
    <w:link w:val="68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6"/>
    <w:link w:val="68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2"/>
    <w:next w:val="68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2"/>
    <w:next w:val="68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2"/>
    <w:next w:val="68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2"/>
    <w:next w:val="68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2"/>
    <w:next w:val="68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2"/>
    <w:next w:val="68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2"/>
    <w:next w:val="68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6"/>
    <w:link w:val="35"/>
    <w:uiPriority w:val="10"/>
    <w:rPr>
      <w:sz w:val="48"/>
      <w:szCs w:val="48"/>
    </w:rPr>
  </w:style>
  <w:style w:type="paragraph" w:styleId="37">
    <w:name w:val="Subtitle"/>
    <w:basedOn w:val="682"/>
    <w:next w:val="68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6"/>
    <w:link w:val="37"/>
    <w:uiPriority w:val="11"/>
    <w:rPr>
      <w:sz w:val="24"/>
      <w:szCs w:val="24"/>
    </w:rPr>
  </w:style>
  <w:style w:type="paragraph" w:styleId="39">
    <w:name w:val="Quote"/>
    <w:basedOn w:val="682"/>
    <w:next w:val="68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2"/>
    <w:next w:val="68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6"/>
    <w:link w:val="708"/>
    <w:uiPriority w:val="99"/>
  </w:style>
  <w:style w:type="character" w:styleId="46">
    <w:name w:val="Footer Char"/>
    <w:basedOn w:val="686"/>
    <w:link w:val="710"/>
    <w:uiPriority w:val="99"/>
  </w:style>
  <w:style w:type="character" w:styleId="48">
    <w:name w:val="Caption Char"/>
    <w:basedOn w:val="686"/>
    <w:link w:val="695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6"/>
    <w:uiPriority w:val="99"/>
    <w:unhideWhenUsed/>
    <w:rPr>
      <w:vertAlign w:val="superscript"/>
    </w:rPr>
  </w:style>
  <w:style w:type="paragraph" w:styleId="179">
    <w:name w:val="endnote text"/>
    <w:basedOn w:val="68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6"/>
    <w:uiPriority w:val="99"/>
    <w:semiHidden/>
    <w:unhideWhenUsed/>
    <w:rPr>
      <w:vertAlign w:val="superscript"/>
    </w:rPr>
  </w:style>
  <w:style w:type="paragraph" w:styleId="182">
    <w:name w:val="toc 1"/>
    <w:basedOn w:val="682"/>
    <w:next w:val="68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2"/>
    <w:next w:val="68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2"/>
    <w:next w:val="68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2"/>
    <w:next w:val="68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2"/>
    <w:next w:val="68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2"/>
    <w:next w:val="68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2"/>
    <w:next w:val="68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2"/>
    <w:next w:val="68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2"/>
    <w:next w:val="68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2"/>
    <w:next w:val="682"/>
    <w:uiPriority w:val="99"/>
    <w:unhideWhenUsed/>
    <w:pPr>
      <w:spacing w:after="0" w:afterAutospacing="0"/>
    </w:pPr>
  </w:style>
  <w:style w:type="paragraph" w:styleId="682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3">
    <w:name w:val="Heading 1"/>
    <w:basedOn w:val="682"/>
    <w:next w:val="682"/>
    <w:link w:val="699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84">
    <w:name w:val="Heading 2"/>
    <w:basedOn w:val="682"/>
    <w:next w:val="682"/>
    <w:link w:val="700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85">
    <w:name w:val="Heading 3"/>
    <w:basedOn w:val="682"/>
    <w:next w:val="682"/>
    <w:link w:val="701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paragraph" w:styleId="689" w:customStyle="1">
    <w:name w:val="Название рисунка (КС)"/>
    <w:next w:val="690"/>
    <w:link w:val="697"/>
    <w:pPr>
      <w:numPr>
        <w:ilvl w:val="0"/>
        <w:numId w:val="2"/>
      </w:numPr>
      <w:jc w:val="center"/>
      <w:spacing w:before="60" w:after="24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690" w:customStyle="1">
    <w:name w:val="Обычный (КС)"/>
    <w:link w:val="696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1" w:customStyle="1">
    <w:name w:val="Заголовок 1 (КС)"/>
    <w:basedOn w:val="683"/>
    <w:next w:val="690"/>
    <w:qFormat/>
    <w:pPr>
      <w:keepLines w:val="0"/>
      <w:pageBreakBefore/>
      <w:spacing w:before="240" w:after="120"/>
    </w:pPr>
    <w:rPr>
      <w:rFonts w:ascii="Times New Roman" w:hAnsi="Times New Roman" w:eastAsia="Times New Roman" w:cs="Arial"/>
      <w:bCs w:val="0"/>
      <w:caps/>
      <w:color w:val="auto"/>
    </w:rPr>
  </w:style>
  <w:style w:type="paragraph" w:styleId="692" w:customStyle="1">
    <w:name w:val="Рисунки (КС)"/>
    <w:next w:val="690"/>
    <w:pPr>
      <w:jc w:val="center"/>
      <w:keepNext/>
      <w:spacing w:before="120"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93" w:customStyle="1">
    <w:name w:val="Заголовок 2 (КС)"/>
    <w:basedOn w:val="684"/>
    <w:next w:val="690"/>
    <w:qFormat/>
    <w:pPr>
      <w:keepLines w:val="0"/>
      <w:spacing w:before="240" w:after="60"/>
    </w:pPr>
    <w:rPr>
      <w:rFonts w:ascii="Times New Roman" w:hAnsi="Times New Roman" w:eastAsia="Times New Roman" w:cs="Arial"/>
      <w:bCs w:val="0"/>
      <w:iCs/>
      <w:color w:val="auto"/>
      <w:sz w:val="28"/>
      <w:szCs w:val="28"/>
    </w:rPr>
  </w:style>
  <w:style w:type="paragraph" w:styleId="694" w:customStyle="1">
    <w:name w:val="Заголовок 3 (КС)"/>
    <w:basedOn w:val="685"/>
    <w:next w:val="690"/>
    <w:pPr>
      <w:keepLines w:val="0"/>
      <w:spacing w:before="240" w:after="60"/>
    </w:pPr>
    <w:rPr>
      <w:rFonts w:ascii="Times New Roman" w:hAnsi="Times New Roman" w:eastAsia="Times New Roman" w:cs="Arial"/>
      <w:bCs w:val="0"/>
      <w:color w:val="auto"/>
      <w:sz w:val="28"/>
      <w:szCs w:val="28"/>
    </w:rPr>
  </w:style>
  <w:style w:type="paragraph" w:styleId="695">
    <w:name w:val="Caption"/>
    <w:basedOn w:val="682"/>
    <w:next w:val="690"/>
    <w:link w:val="698"/>
    <w:uiPriority w:val="35"/>
    <w:qFormat/>
    <w:pPr>
      <w:jc w:val="center"/>
      <w:spacing w:before="120" w:after="120"/>
    </w:pPr>
    <w:rPr>
      <w:b/>
      <w:bCs/>
      <w:sz w:val="20"/>
      <w:szCs w:val="20"/>
    </w:rPr>
  </w:style>
  <w:style w:type="character" w:styleId="696" w:customStyle="1">
    <w:name w:val="Обычный (КС) Знак"/>
    <w:link w:val="6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7" w:customStyle="1">
    <w:name w:val="Название рисунка (КС) Знак"/>
    <w:link w:val="68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698" w:customStyle="1">
    <w:name w:val="Название объекта Знак"/>
    <w:link w:val="695"/>
    <w:uiPriority w:val="3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699" w:customStyle="1">
    <w:name w:val="Заголовок 1 Знак"/>
    <w:basedOn w:val="686"/>
    <w:link w:val="683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700" w:customStyle="1">
    <w:name w:val="Заголовок 2 Знак"/>
    <w:basedOn w:val="686"/>
    <w:link w:val="684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701" w:customStyle="1">
    <w:name w:val="Заголовок 3 Знак"/>
    <w:basedOn w:val="686"/>
    <w:link w:val="685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paragraph" w:styleId="702">
    <w:name w:val="Balloon Text"/>
    <w:basedOn w:val="682"/>
    <w:link w:val="703"/>
    <w:uiPriority w:val="99"/>
    <w:semiHidden/>
    <w:unhideWhenUsed/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86"/>
    <w:link w:val="70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04">
    <w:name w:val="Plain Text"/>
    <w:basedOn w:val="682"/>
    <w:link w:val="705"/>
    <w:uiPriority w:val="99"/>
    <w:semiHidden/>
    <w:unhideWhenUsed/>
    <w:rPr>
      <w:rFonts w:ascii="Consolas" w:hAnsi="Consolas" w:cs="Consolas"/>
      <w:sz w:val="21"/>
      <w:szCs w:val="21"/>
    </w:rPr>
  </w:style>
  <w:style w:type="character" w:styleId="705" w:customStyle="1">
    <w:name w:val="Текст Знак"/>
    <w:basedOn w:val="686"/>
    <w:link w:val="704"/>
    <w:uiPriority w:val="99"/>
    <w:semiHidden/>
    <w:rPr>
      <w:rFonts w:ascii="Consolas" w:hAnsi="Consolas" w:eastAsia="Times New Roman" w:cs="Consolas"/>
      <w:sz w:val="21"/>
      <w:szCs w:val="21"/>
      <w:lang w:eastAsia="ru-RU"/>
    </w:rPr>
  </w:style>
  <w:style w:type="character" w:styleId="706">
    <w:name w:val="Hyperlink"/>
    <w:basedOn w:val="686"/>
    <w:uiPriority w:val="99"/>
    <w:unhideWhenUsed/>
    <w:rPr>
      <w:color w:val="0000ff" w:themeColor="hyperlink"/>
      <w:u w:val="single"/>
    </w:rPr>
  </w:style>
  <w:style w:type="character" w:styleId="707">
    <w:name w:val="FollowedHyperlink"/>
    <w:basedOn w:val="686"/>
    <w:uiPriority w:val="99"/>
    <w:semiHidden/>
    <w:unhideWhenUsed/>
    <w:rPr>
      <w:color w:val="800080" w:themeColor="followedHyperlink"/>
      <w:u w:val="single"/>
    </w:rPr>
  </w:style>
  <w:style w:type="paragraph" w:styleId="708">
    <w:name w:val="Header"/>
    <w:basedOn w:val="682"/>
    <w:link w:val="7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9" w:customStyle="1">
    <w:name w:val="Верхний колонтитул Знак"/>
    <w:basedOn w:val="686"/>
    <w:link w:val="70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0">
    <w:name w:val="Footer"/>
    <w:basedOn w:val="682"/>
    <w:link w:val="7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1" w:customStyle="1">
    <w:name w:val="Нижний колонтитул Знак"/>
    <w:basedOn w:val="686"/>
    <w:link w:val="71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2" w:customStyle="1">
    <w:name w:val="Unresolved Mention"/>
    <w:basedOn w:val="686"/>
    <w:uiPriority w:val="99"/>
    <w:semiHidden/>
    <w:unhideWhenUsed/>
    <w:rPr>
      <w:color w:val="605e5c"/>
      <w:shd w:val="clear" w:color="auto" w:fill="e1dfdd"/>
    </w:rPr>
  </w:style>
  <w:style w:type="character" w:styleId="713">
    <w:name w:val="Strong"/>
    <w:basedOn w:val="686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depfin70.ru/webtorgi_223/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Петровна Чубик</dc:creator>
  <cp:lastModifiedBy>osetrova</cp:lastModifiedBy>
  <cp:revision>3</cp:revision>
  <dcterms:created xsi:type="dcterms:W3CDTF">2025-06-17T02:06:00Z</dcterms:created>
  <dcterms:modified xsi:type="dcterms:W3CDTF">2026-06-24T08:32:15Z</dcterms:modified>
</cp:coreProperties>
</file>